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CF7B" w14:textId="77777777" w:rsidR="00821C5D" w:rsidRPr="00821C5D" w:rsidRDefault="00821C5D" w:rsidP="008D0F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 DE HOTĂRÂRE Nr. 13/A/12.02.2026</w:t>
      </w:r>
    </w:p>
    <w:p w14:paraId="3C39633F" w14:textId="19743498" w:rsidR="00821C5D" w:rsidRPr="00821C5D" w:rsidRDefault="00821C5D" w:rsidP="00821C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Pr="00821C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 proiectului cu titlul „Sebeș și Vințu de Jos Conectate pentru Viitor”, cod proiect 336965, depus spre finanțare în cadrul Programului Regional Centru 2021 – 2027 și a cheltuielilor legate de proiect</w:t>
      </w:r>
    </w:p>
    <w:p w14:paraId="00A13F42" w14:textId="77777777" w:rsidR="00821C5D" w:rsidRPr="00821C5D" w:rsidRDefault="00821C5D" w:rsidP="00821C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047283" w14:textId="77777777" w:rsidR="00821C5D" w:rsidRPr="00821C5D" w:rsidRDefault="00821C5D" w:rsidP="00821C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9D385" w14:textId="15FAAA4A" w:rsidR="00821C5D" w:rsidRPr="00821C5D" w:rsidRDefault="004E659C" w:rsidP="004E659C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94676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Consiliul</w:t>
      </w:r>
      <w:proofErr w:type="spellEnd"/>
      <w:r w:rsidRPr="0094676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local al </w:t>
      </w:r>
      <w:proofErr w:type="spellStart"/>
      <w:r w:rsidRPr="0094676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comunei</w:t>
      </w:r>
      <w:proofErr w:type="spellEnd"/>
      <w:r w:rsidRPr="0094676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Vinţu</w:t>
      </w:r>
      <w:proofErr w:type="spellEnd"/>
      <w:r w:rsidRPr="0094676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de Jos,</w:t>
      </w:r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județul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Alba,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întrunit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şedinţa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publică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extraordinară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cu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convocare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îndată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din data 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13</w:t>
      </w:r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</w:t>
      </w:r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.2026,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prin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mijloace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electronice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comunicare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respectiv</w:t>
      </w:r>
      <w:proofErr w:type="spellEnd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9467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whatsApp</w:t>
      </w:r>
      <w:proofErr w:type="spellEnd"/>
      <w:r w:rsidR="00821C5D"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0A8D696" w14:textId="77777777" w:rsidR="00821C5D" w:rsidRPr="00821C5D" w:rsidRDefault="00821C5D" w:rsidP="00821C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în vedere:</w:t>
      </w:r>
    </w:p>
    <w:p w14:paraId="583D0F8F" w14:textId="318B4867" w:rsidR="00821C5D" w:rsidRPr="00821C5D" w:rsidRDefault="00821C5D" w:rsidP="00821C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</w:rPr>
        <w:t>Referatul</w:t>
      </w:r>
      <w:r w:rsidR="004E659C">
        <w:rPr>
          <w:rFonts w:ascii="Times New Roman" w:eastAsia="Times New Roman" w:hAnsi="Times New Roman" w:cs="Times New Roman"/>
          <w:sz w:val="24"/>
          <w:szCs w:val="24"/>
        </w:rPr>
        <w:t xml:space="preserve"> de aprobare 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r w:rsidR="004E65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659C" w:rsidRPr="004E659C">
        <w:rPr>
          <w:rFonts w:ascii="Times New Roman" w:eastAsia="Times New Roman" w:hAnsi="Times New Roman" w:cs="Times New Roman"/>
          <w:bCs/>
          <w:sz w:val="24"/>
          <w:szCs w:val="24"/>
        </w:rPr>
        <w:t>proiectului cu titlul „Sebeș și Vințu de Jos Conectate pentru Viitor”, cod proiect 336965, depus spre finanțare în cadrul Programului Regional Centru 2021 – 2027 și a cheltuielilor legate de proiect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 xml:space="preserve">, înregistrat sub nr. </w:t>
      </w:r>
      <w:r w:rsidR="004E659C">
        <w:rPr>
          <w:rFonts w:ascii="Times New Roman" w:eastAsia="Times New Roman" w:hAnsi="Times New Roman" w:cs="Times New Roman"/>
          <w:sz w:val="24"/>
          <w:szCs w:val="24"/>
        </w:rPr>
        <w:t>1315/A/12.02.2026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 xml:space="preserve"> al Primarului comunei Vințu de Jos;</w:t>
      </w:r>
    </w:p>
    <w:p w14:paraId="398ABD56" w14:textId="691F3A76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Analizând raportul de specialitate</w:t>
      </w:r>
      <w:r w:rsidR="004E659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1316/A/12.02.2026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prin care se propune Consiliului Local al comunei Vințu de Jos 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aprobarea proiectului cu titlul „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”, cod proiect 336965, depus spre finanțare în cadrul Programului Regional Centru 2021 – 2027 și a cheltuielilor legate de proiect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1A8E64A9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Times New Roman" w:hAnsi="Times New Roman" w:cs="Times New Roman"/>
          <w:sz w:val="24"/>
          <w:szCs w:val="24"/>
        </w:rPr>
        <w:t>În conformitate cu prevederile:</w:t>
      </w:r>
    </w:p>
    <w:p w14:paraId="63B867C2" w14:textId="77777777" w:rsidR="00821C5D" w:rsidRPr="00821C5D" w:rsidRDefault="00821C5D" w:rsidP="00821C5D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Cererii de finanțare „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”, cod proiect 336965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 xml:space="preserve">, </w:t>
      </w:r>
      <w:r w:rsidRPr="00821C5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depus în cadrul Apelului PRC/444/PRC_P2/OP1/RSO1.2/PRC_A5 - </w:t>
      </w:r>
      <w:r w:rsidRPr="00821C5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 w:bidi="ro-RO"/>
        </w:rPr>
        <w:t>Prioritatea 2 – O regiune digitală, Acțiunea 2.1 Comunități digitale pentru o regiune inteligentă, Intervenția 2.1.1 Comunități digitale pentru o regiune inteligentă – soluții digitale, Obiectiv specific 1.2 Valorificarea avantajelor digitalizării, în beneficiul cetățenilor, al companiilor, al organizațiilor de cercetare și al autorităților publice</w:t>
      </w:r>
      <w:r w:rsidRPr="00821C5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cu număr de înregistrare  212758 / 20.11.2024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715871" w14:textId="77777777" w:rsidR="00821C5D" w:rsidRPr="00821C5D" w:rsidRDefault="00821C5D" w:rsidP="00821C5D">
      <w:pPr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Calibri" w:hAnsi="Times New Roman" w:cs="Times New Roman"/>
          <w:bCs/>
          <w:sz w:val="24"/>
          <w:szCs w:val="16"/>
          <w:lang w:bidi="ro-RO"/>
        </w:rPr>
        <w:t xml:space="preserve">Acordului de parteneriat nr. 96420/20.11.2024, încheiat între Municipiul Sebeș – Lider de proiect și Comuna Vințu de Jos – Partener, în vederea implementării în comun a proiectului </w:t>
      </w:r>
      <w:r w:rsidRPr="00821C5D">
        <w:rPr>
          <w:rFonts w:ascii="Times New Roman" w:eastAsia="Times New Roman" w:hAnsi="Times New Roman" w:cs="Times New Roman"/>
          <w:sz w:val="24"/>
          <w:szCs w:val="16"/>
          <w:lang w:eastAsia="ro-RO" w:bidi="ro-RO"/>
        </w:rPr>
        <w:t>„</w:t>
      </w:r>
      <w:r w:rsidRPr="00821C5D">
        <w:rPr>
          <w:rFonts w:ascii="Times New Roman" w:eastAsia="Times New Roman" w:hAnsi="Times New Roman" w:cs="Times New Roman"/>
          <w:sz w:val="24"/>
          <w:szCs w:val="16"/>
          <w:lang w:eastAsia="ro-RO"/>
        </w:rPr>
        <w:t>Sebeș și Vințu de Jos Conectate pentru Viitor</w:t>
      </w:r>
      <w:r w:rsidRPr="00821C5D">
        <w:rPr>
          <w:rFonts w:ascii="Times New Roman" w:eastAsia="Times New Roman" w:hAnsi="Times New Roman" w:cs="Times New Roman"/>
          <w:bCs/>
          <w:sz w:val="24"/>
          <w:szCs w:val="16"/>
          <w:lang w:eastAsia="ro-RO"/>
        </w:rPr>
        <w:t>”, cod proiect 336965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5AAE28" w14:textId="5B02FF94" w:rsidR="00821C5D" w:rsidRPr="00821C5D" w:rsidRDefault="00821C5D" w:rsidP="00821C5D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HCL </w:t>
      </w:r>
      <w:r w:rsidR="004E659C">
        <w:rPr>
          <w:rFonts w:ascii="Times New Roman" w:eastAsia="Times New Roman" w:hAnsi="Times New Roman" w:cs="Times New Roman"/>
          <w:sz w:val="24"/>
          <w:szCs w:val="24"/>
          <w:lang w:eastAsia="ro-RO"/>
        </w:rPr>
        <w:t>112/19.11.2024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aprobarea depunerii proiectului, a cheltuielilor legate de proiect și încheierea unui acord de parteneriat între Municipiul Sebeș și Comuna Vințu de Jos și HCL 8/2026 privind aprobarea proiectului cu titlu</w:t>
      </w:r>
      <w:r w:rsidR="004E659C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„Sebeș și Vințu de Jos Conectate pentru Viitor”, cod proiect 336965, depus spre finanțare în cadrul Programului Regional Centru 2021 – 2027 și a cheltuielilor legate de proiect;</w:t>
      </w:r>
    </w:p>
    <w:p w14:paraId="60D81CD4" w14:textId="77777777" w:rsidR="00821C5D" w:rsidRPr="004E659C" w:rsidRDefault="00821C5D" w:rsidP="00821C5D">
      <w:pPr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Times New Roman" w:hAnsi="Times New Roman" w:cs="Times New Roman"/>
          <w:sz w:val="24"/>
          <w:szCs w:val="24"/>
        </w:rPr>
        <w:t xml:space="preserve">Adresei nr. </w:t>
      </w:r>
      <w:r w:rsidRPr="00821C5D">
        <w:rPr>
          <w:rFonts w:ascii="Times New Roman" w:eastAsia="Times New Roman" w:hAnsi="Times New Roman" w:cs="Times New Roman"/>
          <w:sz w:val="24"/>
          <w:szCs w:val="16"/>
          <w:lang w:eastAsia="ro-RO"/>
        </w:rPr>
        <w:t xml:space="preserve">6091/03.02.2026 – Scrisoare solicitare clarificări 1 în etapa de contractare, emisă de AM PR Centru este necesară actualizarea bugetului proiectului prin modificarea cotei aferente TVA de la 19% la 21%. Pentru achizițiile efectuate și plătite se va păstra cota TVA la momentul contractării </w:t>
      </w:r>
      <w:r w:rsidRPr="00821C5D">
        <w:rPr>
          <w:rFonts w:ascii="Times New Roman" w:eastAsia="Times New Roman" w:hAnsi="Times New Roman" w:cs="Times New Roman"/>
          <w:sz w:val="24"/>
          <w:szCs w:val="16"/>
          <w:lang w:eastAsia="ro-RO"/>
        </w:rPr>
        <w:lastRenderedPageBreak/>
        <w:t>serviciilor.  Actualizările se vor face în corelare cu prevederile Legii nr. 141/25.07.2025 privind unele măsuri fiscal – bugetare referitoare la majorarea cotei standard de TVA de la 19% la 21% și cu ale Instrucțiunii nr. 19/06.08.2025 emisă de către AM PR Centru Privind actualizarea cotei standard a TVA în bugetele cererilor de finanțare depuse și necontractate în cadrul în cadrul Programului „Regiunea Centru”</w:t>
      </w:r>
      <w:r w:rsidRPr="00821C5D">
        <w:rPr>
          <w:rFonts w:ascii="Times New Roman" w:eastAsia="Times New Roman" w:hAnsi="Times New Roman" w:cs="Times New Roman"/>
          <w:bCs/>
          <w:iCs/>
          <w:sz w:val="24"/>
          <w:szCs w:val="24"/>
          <w:lang w:bidi="ro-RO"/>
        </w:rPr>
        <w:t>.</w:t>
      </w:r>
    </w:p>
    <w:p w14:paraId="3D4BE3E9" w14:textId="77777777" w:rsidR="00924603" w:rsidRDefault="00924603" w:rsidP="00924603">
      <w:pPr>
        <w:tabs>
          <w:tab w:val="left" w:pos="9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603">
        <w:rPr>
          <w:rFonts w:ascii="Times New Roman" w:eastAsia="Times New Roman" w:hAnsi="Times New Roman" w:cs="Times New Roman"/>
          <w:sz w:val="24"/>
          <w:szCs w:val="24"/>
        </w:rPr>
        <w:t xml:space="preserve">Având în vedere prevederile art. 44, alin. (1) din Legea nr. 273/2006 privind finanțele publice locale, cu modificările și completările ulterioare; </w:t>
      </w:r>
    </w:p>
    <w:p w14:paraId="2118E75B" w14:textId="77777777" w:rsidR="00924603" w:rsidRDefault="00924603" w:rsidP="00924603">
      <w:pPr>
        <w:tabs>
          <w:tab w:val="left" w:pos="9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603">
        <w:rPr>
          <w:rFonts w:ascii="Times New Roman" w:eastAsia="Times New Roman" w:hAnsi="Times New Roman" w:cs="Times New Roman"/>
          <w:sz w:val="24"/>
          <w:szCs w:val="24"/>
        </w:rPr>
        <w:t>În temeiul art. 129 alin. (2) lit. b), coroborat cu alin. (4) lit. d) din OUG nr. 57/2019 – privind Codul Administrativ;</w:t>
      </w:r>
    </w:p>
    <w:p w14:paraId="7FEE4265" w14:textId="5A3CE920" w:rsidR="00D814DA" w:rsidRPr="00924603" w:rsidRDefault="00D814DA" w:rsidP="00924603">
      <w:pPr>
        <w:tabs>
          <w:tab w:val="left" w:pos="9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DA">
        <w:rPr>
          <w:rFonts w:ascii="Times New Roman" w:eastAsia="Times New Roman" w:hAnsi="Times New Roman" w:cs="Times New Roman"/>
          <w:sz w:val="24"/>
          <w:szCs w:val="24"/>
        </w:rPr>
        <w:t>- art. 7, alin. 5 din Legea nr. 554/2004 din  2 decembrie 2004 a contenciosului administrativ;</w:t>
      </w:r>
    </w:p>
    <w:p w14:paraId="17F5CEF3" w14:textId="063A658B" w:rsidR="00924603" w:rsidRPr="00924603" w:rsidRDefault="00924603" w:rsidP="00924603">
      <w:pPr>
        <w:tabs>
          <w:tab w:val="left" w:pos="9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603">
        <w:rPr>
          <w:rFonts w:ascii="Times New Roman" w:eastAsia="Times New Roman" w:hAnsi="Times New Roman" w:cs="Times New Roman"/>
          <w:sz w:val="24"/>
          <w:szCs w:val="24"/>
        </w:rPr>
        <w:t>În baza art. 139 alin. 3, lit. a) și 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924603">
        <w:rPr>
          <w:rFonts w:ascii="Times New Roman" w:eastAsia="Times New Roman" w:hAnsi="Times New Roman" w:cs="Times New Roman"/>
          <w:sz w:val="24"/>
          <w:szCs w:val="24"/>
        </w:rPr>
        <w:t xml:space="preserve"> art. 196, alin. (1) lit. a) din OUG nr. 57/2019 – privind Codul Administrativ, cu modificările </w:t>
      </w:r>
      <w:proofErr w:type="spellStart"/>
      <w:r w:rsidRPr="009246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24603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ulterioare;</w:t>
      </w:r>
    </w:p>
    <w:p w14:paraId="5DD6EB39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ro-RO"/>
        </w:rPr>
      </w:pPr>
    </w:p>
    <w:p w14:paraId="190ACD5D" w14:textId="57240E20" w:rsidR="00821C5D" w:rsidRDefault="00821C5D" w:rsidP="00924603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o-RO"/>
        </w:rPr>
      </w:pPr>
      <w:r w:rsidRPr="00821C5D">
        <w:rPr>
          <w:rFonts w:ascii="Times New Roman" w:eastAsia="Calibri" w:hAnsi="Times New Roman" w:cs="Times New Roman"/>
          <w:b/>
          <w:bCs/>
          <w:sz w:val="24"/>
          <w:szCs w:val="24"/>
          <w:lang w:bidi="ro-RO"/>
        </w:rPr>
        <w:t>HOTĂRĂȘTE</w:t>
      </w:r>
    </w:p>
    <w:p w14:paraId="31D1C29F" w14:textId="77777777" w:rsidR="00924603" w:rsidRPr="00821C5D" w:rsidRDefault="00924603" w:rsidP="00924603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o-RO"/>
        </w:rPr>
      </w:pPr>
    </w:p>
    <w:p w14:paraId="4E753297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Calibri" w:hAnsi="Times New Roman" w:cs="Times New Roman"/>
          <w:b/>
          <w:bCs/>
          <w:sz w:val="24"/>
          <w:szCs w:val="24"/>
          <w:lang w:bidi="ro-RO"/>
        </w:rPr>
        <w:t xml:space="preserve">Art.1. </w:t>
      </w:r>
      <w:r w:rsidRPr="00821C5D">
        <w:rPr>
          <w:rFonts w:ascii="Times New Roman" w:eastAsia="Calibri" w:hAnsi="Times New Roman" w:cs="Times New Roman"/>
          <w:sz w:val="24"/>
          <w:szCs w:val="24"/>
          <w:lang w:bidi="ro-RO"/>
        </w:rPr>
        <w:t xml:space="preserve">Se actualizează valoarea proiectului 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„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”, cod proiect 336965 cu noua cotă standard a TVA. Cuantumul actualizat reprezentând valoarea totală a proiectului este de 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2.522.064,28 lei inclusiv TVA.</w:t>
      </w:r>
    </w:p>
    <w:p w14:paraId="0122A17A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o-RO"/>
        </w:rPr>
      </w:pPr>
      <w:r w:rsidRPr="00821C5D">
        <w:rPr>
          <w:rFonts w:ascii="Times New Roman" w:eastAsia="Calibri" w:hAnsi="Times New Roman" w:cs="Times New Roman"/>
          <w:b/>
          <w:sz w:val="24"/>
          <w:szCs w:val="24"/>
          <w:lang w:bidi="ro-RO"/>
        </w:rPr>
        <w:t>Art.2.</w:t>
      </w:r>
      <w:r w:rsidRPr="00821C5D">
        <w:rPr>
          <w:rFonts w:ascii="Times New Roman" w:eastAsia="Calibri" w:hAnsi="Times New Roman" w:cs="Times New Roman"/>
          <w:bCs/>
          <w:sz w:val="24"/>
          <w:szCs w:val="24"/>
          <w:lang w:bidi="ro-RO"/>
        </w:rPr>
        <w:t xml:space="preserve"> Se modifică în mod corespunzător prevederilor art. 1 al prezentei hotărâri toate documentele proiectului mai sus menționat.</w:t>
      </w:r>
    </w:p>
    <w:p w14:paraId="289977E6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Calibri" w:hAnsi="Times New Roman" w:cs="Times New Roman"/>
          <w:b/>
          <w:sz w:val="24"/>
          <w:szCs w:val="24"/>
          <w:lang w:bidi="ro-RO"/>
        </w:rPr>
        <w:t>Art.3</w:t>
      </w:r>
      <w:r w:rsidRPr="00821C5D">
        <w:rPr>
          <w:rFonts w:ascii="Times New Roman" w:eastAsia="Calibri" w:hAnsi="Times New Roman" w:cs="Times New Roman"/>
          <w:bCs/>
          <w:sz w:val="24"/>
          <w:szCs w:val="24"/>
          <w:lang w:bidi="ro-RO"/>
        </w:rPr>
        <w:t>. Se aprobă încheierea Actului adițional nr. 1 la Acordul de parteneriat nr. 96420/20.11.2024, conform anexei.</w:t>
      </w:r>
    </w:p>
    <w:p w14:paraId="22997D56" w14:textId="0AD5B3F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Art.4. 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Se aprobă contribuția proprie în proiect a Comunei Vințu de Jos, reprezentând achitarea tutu</w:t>
      </w:r>
      <w:r w:rsid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 cheltuielilor neeligibile ale proiectului, cât și contribuția de 2% din valoarea eligibilă a proiectului, în cuantum de 1.452,00 lei, reprezentând cofinanțarea proiectului </w:t>
      </w:r>
      <w:r w:rsidRPr="00821C5D">
        <w:rPr>
          <w:rFonts w:ascii="Times New Roman" w:eastAsia="Calibri" w:hAnsi="Times New Roman" w:cs="Times New Roman"/>
          <w:bCs/>
          <w:sz w:val="24"/>
          <w:szCs w:val="24"/>
          <w:lang w:bidi="ro-RO"/>
        </w:rPr>
        <w:t>„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”.</w:t>
      </w:r>
    </w:p>
    <w:p w14:paraId="756A15DB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Art.5.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 xml:space="preserve">Se vor asigura sumele reprezentând cheltuieli declarate neeligibile pe parcursul implementării proiectului, altele decât cele prevăzute în bugetul inițial, precum și cheltuieli conexe ce pot apărea pe durata implementării proiectului </w:t>
      </w:r>
      <w:r w:rsidRPr="00821C5D">
        <w:rPr>
          <w:rFonts w:ascii="Times New Roman" w:eastAsia="Calibri" w:hAnsi="Times New Roman" w:cs="Times New Roman"/>
          <w:bCs/>
          <w:sz w:val="24"/>
          <w:szCs w:val="24"/>
          <w:lang w:bidi="ro-RO"/>
        </w:rPr>
        <w:t>„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821C5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>, pentru implementarea proiectului în condiții optime.</w:t>
      </w:r>
    </w:p>
    <w:p w14:paraId="01D5714E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5D">
        <w:rPr>
          <w:rFonts w:ascii="Times New Roman" w:eastAsia="Times New Roman" w:hAnsi="Times New Roman" w:cs="Times New Roman"/>
          <w:b/>
          <w:sz w:val="24"/>
          <w:szCs w:val="24"/>
        </w:rPr>
        <w:t>Art.6.</w:t>
      </w:r>
      <w:r w:rsidRPr="00821C5D">
        <w:rPr>
          <w:rFonts w:ascii="Times New Roman" w:eastAsia="Times New Roman" w:hAnsi="Times New Roman" w:cs="Times New Roman"/>
          <w:sz w:val="24"/>
          <w:szCs w:val="24"/>
        </w:rPr>
        <w:t xml:space="preserve"> Se vor asigura sumele reprezentând cheltuielile de funcționare și întreținere aferente proiectului, în vederea sustenabilității financiare a acestuia.</w:t>
      </w:r>
    </w:p>
    <w:p w14:paraId="74686711" w14:textId="3D89E7E7" w:rsid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Art.7.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împuternicește Simona-Maria Cazan, Primarul comunei Vințu de Jos să reprezinte VINȚU DE JOS în relația cu ADR Centru, în calitate de Autoritate de Management pentru programul „Regiunea Centru” 2021 – 2027</w:t>
      </w:r>
      <w:r w:rsidR="00E57E8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26082FD" w14:textId="0F5DB51D" w:rsidR="008B6FF9" w:rsidRDefault="008B6FF9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B6FF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Art.8.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8B6FF9">
        <w:rPr>
          <w:rFonts w:ascii="Times New Roman" w:eastAsia="Times New Roman" w:hAnsi="Times New Roman" w:cs="Times New Roman"/>
          <w:sz w:val="24"/>
          <w:szCs w:val="24"/>
          <w:lang w:eastAsia="ro-RO"/>
        </w:rPr>
        <w:t>La data adoptării prezentei hotărâri, toate prevederile contrare își încetează aplicabilitatea.</w:t>
      </w:r>
    </w:p>
    <w:p w14:paraId="6446FE0C" w14:textId="080EF48C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Art.</w:t>
      </w:r>
      <w:r w:rsidR="00DF328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9</w:t>
      </w: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Prezenta  hotărâre  poate  fi  atacată  de  către  persoanele  </w:t>
      </w:r>
      <w:proofErr w:type="spellStart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îndreptăţite</w:t>
      </w:r>
      <w:proofErr w:type="spellEnd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 în termenul </w:t>
      </w:r>
      <w:proofErr w:type="spellStart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de legea 554/2004, privind contenciosul administrativ, cu modificările </w:t>
      </w:r>
      <w:proofErr w:type="spellStart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completările ulterioare.</w:t>
      </w:r>
    </w:p>
    <w:p w14:paraId="128D017B" w14:textId="622506BA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Art.</w:t>
      </w:r>
      <w:r w:rsidR="00D31ED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="00DF328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0</w:t>
      </w: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ducerea la îndeplinire a prezentei hotărâri răspunde Primarul comunei Vințu de Jos. prin Aparatul de speciali</w:t>
      </w:r>
      <w:r w:rsid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ate al Primarului, după urmează: Compartimentul</w:t>
      </w:r>
      <w:r w:rsid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Resurse umane, Achiziții publice, Investiții și Servicii publice, Strategii, Programe, Proiecte.</w:t>
      </w:r>
    </w:p>
    <w:p w14:paraId="3AB89622" w14:textId="680A9D32" w:rsidR="00821C5D" w:rsidRPr="00821C5D" w:rsidRDefault="00821C5D" w:rsidP="0092460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Art.1</w:t>
      </w:r>
      <w:r w:rsidR="00DF328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="009246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Prezenta hotărâre ce conține și </w:t>
      </w:r>
      <w:proofErr w:type="spellStart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>Cartuşul</w:t>
      </w:r>
      <w:proofErr w:type="spellEnd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proceduri obligatorii ulterioare adoptării hotărârii consiliului local se comunică </w:t>
      </w:r>
      <w:proofErr w:type="spellStart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Instituţiei</w:t>
      </w:r>
      <w:proofErr w:type="spellEnd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Prefectului </w:t>
      </w:r>
      <w:proofErr w:type="spellStart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judeţului</w:t>
      </w:r>
      <w:proofErr w:type="spellEnd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Alba, primarului comunei </w:t>
      </w:r>
      <w:proofErr w:type="spellStart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>Vinţu</w:t>
      </w:r>
      <w:proofErr w:type="spellEnd"/>
      <w:r w:rsidR="00924603" w:rsidRP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Jos, Serviciului resurse umane, investiții, achiziții publice și servicii publice, strategii, programe, proiecte, impozite și taxe locale, Municipiului Sebeș-Lider de parteneriat de către secretarul comunei Vințu de Jos și se aduce la cunoștința publică prin afișare la sediul instituției, precum și prin publicare pe pagina de internet a instituției www.vintudejos.ro - Monitorul Oficial Local – Hotărârile Autorității Deliberative.</w:t>
      </w:r>
    </w:p>
    <w:p w14:paraId="56645B4E" w14:textId="77777777" w:rsidR="00821C5D" w:rsidRPr="00821C5D" w:rsidRDefault="00821C5D" w:rsidP="00821C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30F9580" w14:textId="4C95CD81" w:rsidR="00821C5D" w:rsidRPr="00821C5D" w:rsidRDefault="00821C5D" w:rsidP="00821C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92460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INIŢIATOR,                                                                             Avizat,</w:t>
      </w:r>
    </w:p>
    <w:p w14:paraId="67E74B5B" w14:textId="77777777" w:rsidR="00821C5D" w:rsidRPr="00821C5D" w:rsidRDefault="00821C5D" w:rsidP="00821C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PRIMAR                                                                SECRETAR GENERAL UAT,</w:t>
      </w:r>
    </w:p>
    <w:p w14:paraId="2F42C591" w14:textId="77777777" w:rsidR="00821C5D" w:rsidRPr="00821C5D" w:rsidRDefault="00821C5D" w:rsidP="00821C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>Simona-Maria Cazan                                                    Claudia Lavinia Muntean</w:t>
      </w:r>
    </w:p>
    <w:p w14:paraId="2FA2078B" w14:textId="77777777" w:rsidR="00821C5D" w:rsidRPr="00821C5D" w:rsidRDefault="00821C5D" w:rsidP="00821C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6083E5A" w14:textId="77777777" w:rsidR="00821C5D" w:rsidRPr="00821C5D" w:rsidRDefault="00821C5D" w:rsidP="00821C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21C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4DD45937" w14:textId="77777777" w:rsidR="00DB48A4" w:rsidRDefault="00DB48A4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3FD346A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66D7EF3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2BED39C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FC78BD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5F2EBB2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AF60170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2A3FD6C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DA47BD2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5AD5ECC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BB809FF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00F5781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5ECE4CF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81FEDA0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807EDC9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30E9625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7DB037F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B92B26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EE68EBC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F7EE03F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NR.</w:t>
      </w:r>
      <w:r w:rsidRPr="0029016B">
        <w:rPr>
          <w:rFonts w:ascii="Times New Roman" w:eastAsia="Calibri" w:hAnsi="Times New Roman" w:cs="Times New Roman"/>
          <w:b/>
          <w:sz w:val="24"/>
          <w:szCs w:val="24"/>
        </w:rPr>
        <w:t>1316/</w:t>
      </w:r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A/</w:t>
      </w:r>
      <w:r w:rsidRPr="0029016B">
        <w:rPr>
          <w:rFonts w:ascii="Times New Roman" w:eastAsia="Calibri" w:hAnsi="Times New Roman" w:cs="Times New Roman"/>
          <w:b/>
          <w:sz w:val="24"/>
          <w:szCs w:val="24"/>
        </w:rPr>
        <w:t>12.02.2026</w:t>
      </w:r>
    </w:p>
    <w:p w14:paraId="716DBF67" w14:textId="77777777" w:rsidR="0029016B" w:rsidRPr="0029016B" w:rsidRDefault="0029016B" w:rsidP="002901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RAPORT DE SPECIALITATE</w:t>
      </w:r>
    </w:p>
    <w:p w14:paraId="1A54CFA0" w14:textId="77777777" w:rsidR="0029016B" w:rsidRPr="0029016B" w:rsidRDefault="0029016B" w:rsidP="002901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2ADF4AF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proiectul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hotărâre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actualizarea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cheltuilelilor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acordului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parteneriat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proiectului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titlul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Sebeș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Vințu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Jos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Conectate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Viitor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cod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336965,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depus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spre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finanțare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Programului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Regional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Centru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2021 – 2027</w:t>
      </w:r>
    </w:p>
    <w:p w14:paraId="2690A2F6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29016B">
        <w:rPr>
          <w:rFonts w:ascii="Times New Roman" w:eastAsia="Calibri" w:hAnsi="Times New Roman" w:cs="Times New Roman"/>
          <w:b/>
          <w:sz w:val="24"/>
          <w:szCs w:val="24"/>
          <w:lang w:val="it-IT"/>
        </w:rPr>
        <w:t>Văzând:</w:t>
      </w:r>
    </w:p>
    <w:p w14:paraId="15C8727D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14:paraId="45DCE4F3" w14:textId="77777777" w:rsidR="0029016B" w:rsidRPr="0029016B" w:rsidRDefault="0029016B" w:rsidP="0029016B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-  </w:t>
      </w:r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Adresa nr. </w:t>
      </w:r>
      <w:r w:rsidRPr="0029016B">
        <w:rPr>
          <w:rFonts w:ascii="Times New Roman" w:eastAsia="Times New Roman" w:hAnsi="Times New Roman" w:cs="Times New Roman"/>
          <w:sz w:val="24"/>
          <w:szCs w:val="16"/>
          <w:lang w:eastAsia="ro-RO"/>
        </w:rPr>
        <w:t>6091/03.02.2026 – Scrisoare solicitare clarificări 1 în etapa de contractare, emisă de AM PR Centru este necesară actualizarea bugetului proiectului prin modificarea cotei aferente TVA de la 19% la 21%. Pentru achizițiile efectuate și plătite se va păstra cota TVA la momentul contractării serviciilor.  Actualizările se vor face în corelare cu prevederile Legii nr. 141/25.07.2025 privind unele măsuri fiscal – bugetare referitoare la majorarea cotei standard de TVA de la 19% la 21% și cu ale Instrucțiunii nr. 19/06.08.2025 emisă de către AM PR Centru Privind actualizarea cotei standard a TVA în bugetele cererilor de finanțare depuse și necontractate în cadrul în cadrul Programului „Regiunea Centru”</w:t>
      </w:r>
      <w:r w:rsidRPr="0029016B">
        <w:rPr>
          <w:rFonts w:ascii="Times New Roman" w:eastAsia="Times New Roman" w:hAnsi="Times New Roman" w:cs="Times New Roman"/>
          <w:bCs/>
          <w:iCs/>
          <w:sz w:val="24"/>
          <w:szCs w:val="24"/>
          <w:lang w:bidi="ro-RO"/>
        </w:rPr>
        <w:t>,</w:t>
      </w:r>
    </w:p>
    <w:p w14:paraId="46481951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000680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conformitate</w:t>
      </w:r>
      <w:proofErr w:type="spellEnd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cu  </w:t>
      </w:r>
      <w:proofErr w:type="spellStart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prevederile</w:t>
      </w:r>
      <w:proofErr w:type="spellEnd"/>
      <w:proofErr w:type="gramEnd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370640AE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5EC276F" w14:textId="77777777" w:rsidR="0029016B" w:rsidRPr="0029016B" w:rsidRDefault="0029016B" w:rsidP="0029016B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Cererii de finanțare „</w:t>
      </w:r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2901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”, cod proiect 336965</w:t>
      </w:r>
      <w:r w:rsidRPr="0029016B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 xml:space="preserve">, </w:t>
      </w:r>
      <w:r w:rsidRPr="0029016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depus în cadrul Apelului PRC/444/PRC_P2/OP1/RSO1.2/PRC_A5 - </w:t>
      </w:r>
      <w:r w:rsidRPr="0029016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 w:bidi="ro-RO"/>
        </w:rPr>
        <w:t>Prioritatea 2 – O regiune digitală, Acțiunea 2.1 Comunități digitale pentru o regiune inteligentă, Intervenția 2.1.1 Comunități digitale pentru o regiune inteligentă – soluții digitale, Obiectiv specific 1.2 Valorificarea avantajelor digitalizării, în beneficiul cetățenilor, al companiilor, al organizațiilor de cercetare și al autorităților publice</w:t>
      </w:r>
      <w:r w:rsidRPr="0029016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cu număr de înregistrare  212758 / 20.11.2024</w:t>
      </w:r>
      <w:r w:rsidRPr="0029016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B18718" w14:textId="77777777" w:rsidR="0029016B" w:rsidRPr="0029016B" w:rsidRDefault="0029016B" w:rsidP="0029016B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Calibri" w:hAnsi="Times New Roman" w:cs="Times New Roman"/>
          <w:bCs/>
          <w:sz w:val="24"/>
          <w:szCs w:val="16"/>
          <w:lang w:bidi="ro-RO"/>
        </w:rPr>
        <w:t xml:space="preserve">Acordului de parteneriat nr. 96420/12803/20.11.2024, încheiat între Municipiul Sebeș – Lider de proiect și Comuna Vințu de Jos – Partener, în vederea implementării în comun a proiectului </w:t>
      </w:r>
      <w:r w:rsidRPr="0029016B">
        <w:rPr>
          <w:rFonts w:ascii="Times New Roman" w:eastAsia="Times New Roman" w:hAnsi="Times New Roman" w:cs="Times New Roman"/>
          <w:sz w:val="24"/>
          <w:szCs w:val="16"/>
          <w:lang w:eastAsia="ro-RO" w:bidi="ro-RO"/>
        </w:rPr>
        <w:t>„</w:t>
      </w:r>
      <w:r w:rsidRPr="0029016B">
        <w:rPr>
          <w:rFonts w:ascii="Times New Roman" w:eastAsia="Times New Roman" w:hAnsi="Times New Roman" w:cs="Times New Roman"/>
          <w:sz w:val="24"/>
          <w:szCs w:val="16"/>
          <w:lang w:eastAsia="ro-RO"/>
        </w:rPr>
        <w:t>Sebeș și Vințu de Jos Conectate pentru Viitor</w:t>
      </w:r>
      <w:r w:rsidRPr="0029016B">
        <w:rPr>
          <w:rFonts w:ascii="Times New Roman" w:eastAsia="Times New Roman" w:hAnsi="Times New Roman" w:cs="Times New Roman"/>
          <w:bCs/>
          <w:sz w:val="24"/>
          <w:szCs w:val="16"/>
          <w:lang w:eastAsia="ro-RO"/>
        </w:rPr>
        <w:t>”, cod proiect 336965</w:t>
      </w:r>
      <w:r w:rsidRPr="0029016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987F47" w14:textId="77777777" w:rsidR="0029016B" w:rsidRPr="0029016B" w:rsidRDefault="0029016B" w:rsidP="0029016B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HCL 112/19.11.2024 privind aprobarea depunerii proiectului, a cheltuielilor legate de proiect și încheierea unui acord de parteneriat între Municipiul Sebeș și Comuna Vințu de Jos și HCL 5/22.01.2026 privind aprobarea proiectului cu </w:t>
      </w:r>
      <w:proofErr w:type="spellStart"/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>titlui</w:t>
      </w:r>
      <w:proofErr w:type="spellEnd"/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„Sebeș și Vințu de Jos Conectate pentru Viitor”, cod proiect 336965, depus spre finanțare în cadrul Programului Regional Centru 2021 – 2027 și a </w:t>
      </w:r>
      <w:proofErr w:type="spellStart"/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>cheltuilelilor</w:t>
      </w:r>
      <w:proofErr w:type="spellEnd"/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legate de proiect;</w:t>
      </w:r>
    </w:p>
    <w:p w14:paraId="3D57C5A6" w14:textId="77777777" w:rsidR="0029016B" w:rsidRPr="0029016B" w:rsidRDefault="0029016B" w:rsidP="0029016B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 art.129, alin. 2, </w:t>
      </w:r>
      <w:proofErr w:type="spellStart"/>
      <w:r w:rsidRPr="0029016B">
        <w:rPr>
          <w:rFonts w:ascii="Times New Roman" w:eastAsia="Times New Roman" w:hAnsi="Times New Roman" w:cs="Times New Roman"/>
          <w:sz w:val="24"/>
          <w:szCs w:val="24"/>
        </w:rPr>
        <w:t>lit.e</w:t>
      </w:r>
      <w:proofErr w:type="spellEnd"/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 și alin.(7),</w:t>
      </w:r>
      <w:proofErr w:type="spellStart"/>
      <w:r w:rsidRPr="0029016B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spellEnd"/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 a din OUG nr.57/2019 privind Codul Administrativ;</w:t>
      </w:r>
    </w:p>
    <w:p w14:paraId="6B4638A2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temeiul</w:t>
      </w:r>
      <w:proofErr w:type="spellEnd"/>
      <w:r w:rsidRPr="002901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7FF79C0E" w14:textId="77777777" w:rsidR="0029016B" w:rsidRPr="0029016B" w:rsidRDefault="0029016B" w:rsidP="0029016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 139,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3, lit f din O.U.G 57/2019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administrative, </w:t>
      </w:r>
    </w:p>
    <w:p w14:paraId="592AB301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622192F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</w:t>
      </w: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legale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mai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sus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menționate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propunem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adoptarea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unei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actualizarea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cheltuilelilor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acordului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parteneriat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proiectului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titlul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Sebeș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Vințu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Jos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Conectate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Viitor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cod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proiect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336965,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depus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spre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finanțare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Programului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Regional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Centru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2021 – 2027.</w:t>
      </w:r>
    </w:p>
    <w:p w14:paraId="752D0885" w14:textId="77777777" w:rsidR="0029016B" w:rsidRPr="0029016B" w:rsidRDefault="0029016B" w:rsidP="002901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BACDE76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DF305C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A4EE495" w14:textId="77777777" w:rsidR="0029016B" w:rsidRPr="0029016B" w:rsidRDefault="0029016B" w:rsidP="0029016B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Sef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9016B">
        <w:rPr>
          <w:rFonts w:ascii="Times New Roman" w:eastAsia="Calibri" w:hAnsi="Times New Roman" w:cs="Times New Roman"/>
          <w:sz w:val="24"/>
          <w:szCs w:val="24"/>
        </w:rPr>
        <w:t>Serviciu</w:t>
      </w: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FA3F394" w14:textId="77777777" w:rsidR="0029016B" w:rsidRPr="0029016B" w:rsidRDefault="0029016B" w:rsidP="0029016B">
      <w:pPr>
        <w:tabs>
          <w:tab w:val="left" w:pos="37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Eugenia Ana</w:t>
      </w:r>
      <w:r w:rsidRPr="0029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Neagu</w:t>
      </w:r>
    </w:p>
    <w:p w14:paraId="1BAA5D09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4B114A6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F9B39D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A99E48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9E44749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5D6BD51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AA5B2D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44A73B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32AE85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AC4860F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B3E875C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C68ECA7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06C712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6F5A64E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9EFFBF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022693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329941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69E07B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CAF563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4336EBD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5552951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30E2C15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05C5CA7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55BF455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9471A61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F0CF7C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9C5F8D8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2C580A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917D7D5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9F7A8D4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9DC6D8D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22AD958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BAE5572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E9CC71E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8FA696" w14:textId="77777777" w:rsidR="0029016B" w:rsidRPr="0029016B" w:rsidRDefault="0029016B" w:rsidP="002901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901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Nr.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</w:rPr>
        <w:t>înreg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</w:rPr>
        <w:t>: 1315/A/12.02.2026</w:t>
      </w:r>
    </w:p>
    <w:p w14:paraId="64F6966A" w14:textId="77777777" w:rsidR="0029016B" w:rsidRPr="0029016B" w:rsidRDefault="0029016B" w:rsidP="002901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16B">
        <w:rPr>
          <w:rFonts w:ascii="Times New Roman" w:eastAsia="Calibri" w:hAnsi="Times New Roman" w:cs="Times New Roman"/>
          <w:b/>
          <w:sz w:val="24"/>
          <w:szCs w:val="24"/>
        </w:rPr>
        <w:t>Referat de aprobare</w:t>
      </w:r>
    </w:p>
    <w:p w14:paraId="62F55D1D" w14:textId="77777777" w:rsidR="0029016B" w:rsidRPr="0029016B" w:rsidRDefault="0029016B" w:rsidP="002901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Pr="0029016B">
        <w:rPr>
          <w:rFonts w:ascii="Times New Roman" w:eastAsia="Calibri" w:hAnsi="Times New Roman" w:cs="Times New Roman"/>
          <w:sz w:val="24"/>
          <w:szCs w:val="24"/>
        </w:rPr>
        <w:t xml:space="preserve">actualizarea </w:t>
      </w:r>
      <w:proofErr w:type="spellStart"/>
      <w:r w:rsidRPr="0029016B">
        <w:rPr>
          <w:rFonts w:ascii="Times New Roman" w:eastAsia="Calibri" w:hAnsi="Times New Roman" w:cs="Times New Roman"/>
          <w:sz w:val="24"/>
          <w:szCs w:val="24"/>
        </w:rPr>
        <w:t>cheltuilelilor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</w:rPr>
        <w:t xml:space="preserve"> legate de proiect și a acordului de parteneriat a proiectului cu titlul „Sebeș și Vințu de Jos Conectate pentru Viitor”, cod proiect 336965, depus spre finanțare în cadrul Programului Regional Centru 2021 – 2027</w:t>
      </w:r>
    </w:p>
    <w:p w14:paraId="7A01FDFE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Văzând</w:t>
      </w:r>
      <w:proofErr w:type="spellEnd"/>
      <w:r w:rsidRPr="0029016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3979FF05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8394580" w14:textId="77777777" w:rsidR="0029016B" w:rsidRPr="0029016B" w:rsidRDefault="0029016B" w:rsidP="0029016B">
      <w:pPr>
        <w:numPr>
          <w:ilvl w:val="0"/>
          <w:numId w:val="2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Cererea de finanțare „</w:t>
      </w:r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2901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”, cod proiect 336965</w:t>
      </w:r>
      <w:r w:rsidRPr="0029016B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 xml:space="preserve">, </w:t>
      </w:r>
      <w:r w:rsidRPr="0029016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depus în cadrul Apelului PRC/444/PRC_P2/OP1/RSO1.2/PRC_A5 - </w:t>
      </w:r>
      <w:r w:rsidRPr="0029016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 w:bidi="ro-RO"/>
        </w:rPr>
        <w:t>Prioritatea 2 – O regiune digitală, Acțiunea 2.1 Comunități digitale pentru o regiune inteligentă, Intervenția 2.1.1 Comunități digitale pentru o regiune inteligentă – soluții digitale, Obiectiv specific 1.2 Valorificarea avantajelor digitalizării, în beneficiul cetățenilor, al companiilor, al organizațiilor de cercetare și al autorităților publice</w:t>
      </w:r>
      <w:r w:rsidRPr="0029016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cu număr de înregistrare  212758 / 20.11.2024</w:t>
      </w:r>
      <w:r w:rsidRPr="0029016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2BFB71" w14:textId="77777777" w:rsidR="0029016B" w:rsidRPr="0029016B" w:rsidRDefault="0029016B" w:rsidP="0029016B">
      <w:pPr>
        <w:numPr>
          <w:ilvl w:val="0"/>
          <w:numId w:val="2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Calibri" w:hAnsi="Times New Roman" w:cs="Times New Roman"/>
          <w:bCs/>
          <w:sz w:val="24"/>
          <w:szCs w:val="24"/>
          <w:lang w:bidi="ro-RO"/>
        </w:rPr>
        <w:t xml:space="preserve">Acordul de parteneriat nr. 96420/20.11.2024, încheiat între Municipiul Sebeș – Lider de proiect și Comuna Vințu de Jos – Partener, în vederea implementării în comun a proiectului </w:t>
      </w:r>
      <w:r w:rsidRPr="0029016B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„</w:t>
      </w:r>
      <w:r w:rsidRPr="0029016B">
        <w:rPr>
          <w:rFonts w:ascii="Times New Roman" w:eastAsia="Times New Roman" w:hAnsi="Times New Roman" w:cs="Times New Roman"/>
          <w:sz w:val="24"/>
          <w:szCs w:val="24"/>
          <w:lang w:eastAsia="ro-RO"/>
        </w:rPr>
        <w:t>Sebeș și Vințu de Jos Conectate pentru Viitor</w:t>
      </w:r>
      <w:r w:rsidRPr="0029016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”, cod proiect 336965;</w:t>
      </w:r>
    </w:p>
    <w:p w14:paraId="7A5A03E0" w14:textId="77777777" w:rsidR="0029016B" w:rsidRPr="0029016B" w:rsidRDefault="0029016B" w:rsidP="0029016B">
      <w:pPr>
        <w:numPr>
          <w:ilvl w:val="0"/>
          <w:numId w:val="2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Ghidul  </w:t>
      </w:r>
      <w:r w:rsidRPr="0029016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 w:bidi="ro-RO"/>
        </w:rPr>
        <w:t>Prioritatea 2 – O regiune digitală, Acțiunea 2.1 Comunități digitale pentru o regiune inteligentă, Intervenția 2.1.1 Comunități digitale pentru o regiune inteligentă – soluții digitale, Obiectiv specific 1.2 Valorificarea avantajelor digitalizării, în beneficiul cetățenilor, al companiilor, al organizațiilor de cercetare și al autorităților publice</w:t>
      </w:r>
      <w:bookmarkStart w:id="0" w:name="_Hlk193705128"/>
      <w:r w:rsidRPr="0029016B">
        <w:rPr>
          <w:rFonts w:ascii="Times New Roman" w:eastAsia="Times New Roman" w:hAnsi="Times New Roman" w:cs="Times New Roman"/>
          <w:bCs/>
          <w:iCs/>
          <w:sz w:val="24"/>
          <w:szCs w:val="24"/>
          <w:lang w:eastAsia="ro-RO" w:bidi="ro-RO"/>
        </w:rPr>
        <w:t>;</w:t>
      </w:r>
    </w:p>
    <w:p w14:paraId="6A53A2CE" w14:textId="77777777" w:rsidR="0029016B" w:rsidRPr="0029016B" w:rsidRDefault="0029016B" w:rsidP="0029016B">
      <w:pPr>
        <w:numPr>
          <w:ilvl w:val="0"/>
          <w:numId w:val="2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HCL 112/19.11.2024 privind aprobarea depunerii proiectului, a cheltuielilor legate de proiect și încheierea unui acord de parteneriat între Municipiul Sebeș și Comuna Vințu de Jos și HCL 5/22.01.2026 privind aprobarea proiectului cu </w:t>
      </w:r>
      <w:proofErr w:type="spellStart"/>
      <w:r w:rsidRPr="0029016B">
        <w:rPr>
          <w:rFonts w:ascii="Times New Roman" w:eastAsia="Times New Roman" w:hAnsi="Times New Roman" w:cs="Times New Roman"/>
          <w:sz w:val="24"/>
          <w:szCs w:val="24"/>
        </w:rPr>
        <w:t>titlui</w:t>
      </w:r>
      <w:proofErr w:type="spellEnd"/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 „Sebeș și Vințu de Jos Conectate pentru Viitor”, cod proiect 336965, depus spre finanțare în cadrul Programului Regional Centru 2021 – 2027 și a </w:t>
      </w:r>
      <w:proofErr w:type="spellStart"/>
      <w:r w:rsidRPr="0029016B">
        <w:rPr>
          <w:rFonts w:ascii="Times New Roman" w:eastAsia="Times New Roman" w:hAnsi="Times New Roman" w:cs="Times New Roman"/>
          <w:sz w:val="24"/>
          <w:szCs w:val="24"/>
        </w:rPr>
        <w:t>cheltuilelilor</w:t>
      </w:r>
      <w:proofErr w:type="spellEnd"/>
      <w:r w:rsidRPr="0029016B">
        <w:rPr>
          <w:rFonts w:ascii="Times New Roman" w:eastAsia="Times New Roman" w:hAnsi="Times New Roman" w:cs="Times New Roman"/>
          <w:sz w:val="24"/>
          <w:szCs w:val="24"/>
        </w:rPr>
        <w:t xml:space="preserve"> legate de proiect;</w:t>
      </w:r>
    </w:p>
    <w:p w14:paraId="2599B18C" w14:textId="77777777" w:rsidR="0029016B" w:rsidRPr="0029016B" w:rsidRDefault="0029016B" w:rsidP="0029016B">
      <w:pPr>
        <w:numPr>
          <w:ilvl w:val="0"/>
          <w:numId w:val="2"/>
        </w:numPr>
        <w:tabs>
          <w:tab w:val="left" w:pos="900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6B">
        <w:rPr>
          <w:rFonts w:ascii="Times New Roman" w:eastAsia="Times New Roman" w:hAnsi="Times New Roman" w:cs="Times New Roman"/>
          <w:sz w:val="24"/>
          <w:szCs w:val="24"/>
        </w:rPr>
        <w:t>Adresa  nr. 6091/03.02.2026 – Scrisoare solicitare clarificări 1 în etapa de contractare, emisă de AM PR Centru este necesară actualizarea bugetului proiectului prin modificarea cotei aferente TVA de la 19% la 21%. Pentru achizițiile efectuate și plătite se va păstra cota TVA la momentul contractării serviciilor.  Actualizările se vor face în corelare cu prevederile Legii nr. 141/25.07.2025 privind unele măsuri fiscal – bugetare referitoare la majorarea cotei standard de TVA de la 19% la 21% și cu ale Instrucțiunii nr. 19/06.08.2025 emisă de către AM PR Centru Privind actualizarea cotei standard a TVA în bugetele cererilor de finanțare depuse și necontractate în cadrul în cadrul Programului „Regiunea Centru”</w:t>
      </w:r>
      <w:bookmarkEnd w:id="0"/>
      <w:r w:rsidRPr="0029016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3D133E" w14:textId="77777777" w:rsidR="0029016B" w:rsidRPr="0029016B" w:rsidRDefault="0029016B" w:rsidP="0029016B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</w:pPr>
      <w:r w:rsidRPr="00290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Având în vedere actele enumerate mai sus, precum și oportunitatea de a obține finanțare nerambursabilă care să contribuie la digitalizarea serviciilor publice din administrația publică locală, în </w:t>
      </w:r>
      <w:r w:rsidRPr="00290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lastRenderedPageBreak/>
        <w:t xml:space="preserve">considerarea celor expuse mai sus, propunem aprobarea de către Consiliul Local al Comunei Vințu de Jos a proiectului de hotărâre privind actualizarea </w:t>
      </w:r>
      <w:proofErr w:type="spellStart"/>
      <w:r w:rsidRPr="00290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cheltuilelilor</w:t>
      </w:r>
      <w:proofErr w:type="spellEnd"/>
      <w:r w:rsidRPr="00290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legate de proiect și a acordului de parteneriat a proiectului cu titlul „Sebeș și Vințu de Jos Conectate pentru Viitor”, cod proiect 336965, depus spre finanțare în cadrul Programului Regional Centru 2021 – 2027, în forma propusă de Primarul Comunei Vințu de Jos în calitate de inițiator.</w:t>
      </w:r>
    </w:p>
    <w:p w14:paraId="0617DAAA" w14:textId="77777777" w:rsidR="0029016B" w:rsidRPr="0029016B" w:rsidRDefault="0029016B" w:rsidP="0029016B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</w:pPr>
    </w:p>
    <w:p w14:paraId="5C2C5484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it-IT"/>
        </w:rPr>
        <w:t>Vinţu de Jos</w:t>
      </w:r>
      <w:r w:rsidRPr="0029016B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</w:p>
    <w:p w14:paraId="2BB344F7" w14:textId="77777777" w:rsidR="0029016B" w:rsidRPr="0029016B" w:rsidRDefault="0029016B" w:rsidP="00290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it-IT"/>
        </w:rPr>
        <w:t>12.02.2026</w:t>
      </w:r>
    </w:p>
    <w:p w14:paraId="1769789F" w14:textId="77777777" w:rsidR="0029016B" w:rsidRPr="0029016B" w:rsidRDefault="0029016B" w:rsidP="002901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44452AC7" w14:textId="77777777" w:rsidR="0029016B" w:rsidRPr="0029016B" w:rsidRDefault="0029016B" w:rsidP="002901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9016B">
        <w:rPr>
          <w:rFonts w:ascii="Times New Roman" w:eastAsia="Calibri" w:hAnsi="Times New Roman" w:cs="Times New Roman"/>
          <w:sz w:val="24"/>
          <w:szCs w:val="24"/>
          <w:lang w:val="it-IT"/>
        </w:rPr>
        <w:t>PRIMAR</w:t>
      </w:r>
    </w:p>
    <w:p w14:paraId="2C86E4EB" w14:textId="77777777" w:rsidR="0029016B" w:rsidRPr="0029016B" w:rsidRDefault="0029016B" w:rsidP="0029016B">
      <w:pPr>
        <w:spacing w:after="200" w:line="276" w:lineRule="auto"/>
        <w:ind w:left="3240" w:firstLine="360"/>
        <w:rPr>
          <w:rFonts w:ascii="Times New Roman" w:eastAsia="Calibri" w:hAnsi="Times New Roman" w:cs="Times New Roman"/>
          <w:sz w:val="24"/>
          <w:szCs w:val="24"/>
        </w:rPr>
      </w:pPr>
      <w:r w:rsidRPr="0029016B">
        <w:rPr>
          <w:rFonts w:ascii="Times New Roman" w:eastAsia="Calibri" w:hAnsi="Times New Roman" w:cs="Times New Roman"/>
          <w:sz w:val="24"/>
          <w:szCs w:val="24"/>
        </w:rPr>
        <w:t>Simona Maria Cazan</w:t>
      </w:r>
    </w:p>
    <w:p w14:paraId="6A7D0F45" w14:textId="77777777" w:rsidR="0029016B" w:rsidRDefault="0029016B" w:rsidP="00625023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sectPr w:rsidR="0029016B" w:rsidSect="000A61C9">
      <w:headerReference w:type="default" r:id="rId7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FF58" w14:textId="77777777" w:rsidR="00E0197D" w:rsidRDefault="00E0197D" w:rsidP="00DD2D78">
      <w:pPr>
        <w:spacing w:after="0" w:line="240" w:lineRule="auto"/>
      </w:pPr>
      <w:r>
        <w:separator/>
      </w:r>
    </w:p>
  </w:endnote>
  <w:endnote w:type="continuationSeparator" w:id="0">
    <w:p w14:paraId="66E5AF01" w14:textId="77777777" w:rsidR="00E0197D" w:rsidRDefault="00E0197D" w:rsidP="00DD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F268" w14:textId="77777777" w:rsidR="00E0197D" w:rsidRDefault="00E0197D" w:rsidP="00DD2D78">
      <w:pPr>
        <w:spacing w:after="0" w:line="240" w:lineRule="auto"/>
      </w:pPr>
      <w:r>
        <w:separator/>
      </w:r>
    </w:p>
  </w:footnote>
  <w:footnote w:type="continuationSeparator" w:id="0">
    <w:p w14:paraId="70338BAC" w14:textId="77777777" w:rsidR="00E0197D" w:rsidRDefault="00E0197D" w:rsidP="00DD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9B4F" w14:textId="77777777" w:rsidR="00E13BA1" w:rsidRPr="00DD2D78" w:rsidRDefault="00E0197D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ROMÂNIA</w:t>
    </w:r>
  </w:p>
  <w:p w14:paraId="2428102D" w14:textId="77777777" w:rsidR="00E13BA1" w:rsidRPr="00DD2D78" w:rsidRDefault="00E0197D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JUDEŢUL ALBA</w:t>
    </w:r>
  </w:p>
  <w:p w14:paraId="30014618" w14:textId="77777777" w:rsidR="00E13BA1" w:rsidRPr="00DD2D78" w:rsidRDefault="00E0197D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PRIMĂRIA COMUNEI  VINŢU DE JOS</w:t>
    </w:r>
  </w:p>
  <w:p w14:paraId="3BEAE5F4" w14:textId="77777777" w:rsidR="00E13BA1" w:rsidRPr="003B3E87" w:rsidRDefault="00E0197D" w:rsidP="00DE0C54">
    <w:pPr>
      <w:pStyle w:val="Antet"/>
      <w:tabs>
        <w:tab w:val="left" w:pos="1272"/>
      </w:tabs>
      <w:jc w:val="center"/>
      <w:rPr>
        <w:rFonts w:ascii="Times New Roman" w:hAnsi="Times New Roman" w:cs="Times New Roman"/>
        <w:lang w:val="en-US"/>
      </w:rPr>
    </w:pPr>
    <w:r w:rsidRPr="00DD2D78">
      <w:rPr>
        <w:rFonts w:ascii="Times New Roman" w:hAnsi="Times New Roman" w:cs="Times New Roman"/>
        <w:lang w:val="de-DE"/>
      </w:rPr>
      <w:t xml:space="preserve">Loc.Vințu de Jos,str. </w:t>
    </w:r>
    <w:r w:rsidRPr="003B3E87">
      <w:rPr>
        <w:rFonts w:ascii="Times New Roman" w:hAnsi="Times New Roman" w:cs="Times New Roman"/>
        <w:lang w:val="en-US"/>
      </w:rPr>
      <w:t xml:space="preserve">Lucian </w:t>
    </w:r>
    <w:proofErr w:type="spellStart"/>
    <w:proofErr w:type="gramStart"/>
    <w:r w:rsidRPr="003B3E87">
      <w:rPr>
        <w:rFonts w:ascii="Times New Roman" w:hAnsi="Times New Roman" w:cs="Times New Roman"/>
        <w:lang w:val="en-US"/>
      </w:rPr>
      <w:t>Blaga,nr</w:t>
    </w:r>
    <w:proofErr w:type="spellEnd"/>
    <w:proofErr w:type="gramEnd"/>
    <w:r w:rsidRPr="003B3E87">
      <w:rPr>
        <w:rFonts w:ascii="Times New Roman" w:hAnsi="Times New Roman" w:cs="Times New Roman"/>
        <w:lang w:val="en-US"/>
      </w:rPr>
      <w:t>. 47</w:t>
    </w:r>
  </w:p>
  <w:p w14:paraId="3D84964F" w14:textId="77777777" w:rsidR="00E13BA1" w:rsidRPr="003B3E87" w:rsidRDefault="00E13BA1" w:rsidP="00DE0C54">
    <w:pPr>
      <w:pStyle w:val="Antet"/>
      <w:tabs>
        <w:tab w:val="left" w:pos="2207"/>
      </w:tabs>
      <w:jc w:val="center"/>
      <w:rPr>
        <w:rFonts w:ascii="Times New Roman" w:hAnsi="Times New Roman" w:cs="Times New Roman"/>
        <w:lang w:val="en-US"/>
      </w:rPr>
    </w:pPr>
    <w:hyperlink r:id="rId1" w:history="1">
      <w:r w:rsidRPr="003B3E87">
        <w:rPr>
          <w:rStyle w:val="Hyperlink1"/>
          <w:rFonts w:ascii="Times New Roman" w:hAnsi="Times New Roman" w:cs="Times New Roman"/>
          <w:lang w:val="en-US"/>
        </w:rPr>
        <w:t>Tel.</w:t>
      </w:r>
    </w:hyperlink>
    <w:r w:rsidRPr="003B3E87">
      <w:rPr>
        <w:rStyle w:val="Hyperlink1"/>
        <w:rFonts w:ascii="Times New Roman" w:hAnsi="Times New Roman" w:cs="Times New Roman"/>
        <w:lang w:val="en-US"/>
      </w:rPr>
      <w:t xml:space="preserve"> </w:t>
    </w:r>
    <w:proofErr w:type="gramStart"/>
    <w:r w:rsidRPr="003B3E87">
      <w:rPr>
        <w:rStyle w:val="Hyperlink1"/>
        <w:rFonts w:ascii="Times New Roman" w:hAnsi="Times New Roman" w:cs="Times New Roman"/>
        <w:lang w:val="en-US"/>
      </w:rPr>
      <w:t xml:space="preserve">0258739234 </w:t>
    </w:r>
    <w:r w:rsidRPr="003B3E87">
      <w:rPr>
        <w:rFonts w:ascii="Times New Roman" w:hAnsi="Times New Roman" w:cs="Times New Roman"/>
        <w:lang w:val="en-US"/>
      </w:rPr>
      <w:t xml:space="preserve"> Fax</w:t>
    </w:r>
    <w:proofErr w:type="gramEnd"/>
    <w:r w:rsidRPr="003B3E87">
      <w:rPr>
        <w:rFonts w:ascii="Times New Roman" w:hAnsi="Times New Roman" w:cs="Times New Roman"/>
        <w:lang w:val="en-US"/>
      </w:rPr>
      <w:t>: 0258739640</w:t>
    </w:r>
  </w:p>
  <w:p w14:paraId="22873848" w14:textId="77777777" w:rsidR="00E13BA1" w:rsidRPr="00DD2D78" w:rsidRDefault="00E0197D" w:rsidP="00DE0C54">
    <w:pPr>
      <w:pStyle w:val="Antet"/>
      <w:jc w:val="center"/>
      <w:rPr>
        <w:rFonts w:ascii="Times New Roman" w:hAnsi="Times New Roman" w:cs="Times New Roman"/>
        <w:lang w:val="de-DE"/>
      </w:rPr>
    </w:pPr>
    <w:r w:rsidRPr="00DD2D78">
      <w:rPr>
        <w:rFonts w:ascii="Times New Roman" w:hAnsi="Times New Roman" w:cs="Times New Roman"/>
        <w:noProof/>
        <w:lang w:eastAsia="ro-RO"/>
      </w:rPr>
      <w:t xml:space="preserve">e-mail:  </w:t>
    </w:r>
    <w:r w:rsidRPr="00DD2D78">
      <w:rPr>
        <w:rFonts w:ascii="Times New Roman" w:hAnsi="Times New Roman" w:cs="Times New Roman"/>
        <w:lang w:val="de-DE"/>
      </w:rPr>
      <w:t>resurseachizitii_vintudejos@ab.e-adm.ro</w:t>
    </w:r>
  </w:p>
  <w:p w14:paraId="3886E4FE" w14:textId="77777777" w:rsidR="00E13BA1" w:rsidRPr="00DD2D78" w:rsidRDefault="00E0197D" w:rsidP="00DE0C54">
    <w:pPr>
      <w:pStyle w:val="Antet"/>
      <w:jc w:val="center"/>
      <w:rPr>
        <w:rFonts w:ascii="Times New Roman" w:hAnsi="Times New Roman" w:cs="Times New Roman"/>
        <w:lang w:val="de-DE"/>
      </w:rPr>
    </w:pPr>
    <w:r w:rsidRPr="00DD2D78">
      <w:rPr>
        <w:rFonts w:ascii="Times New Roman" w:hAnsi="Times New Roman" w:cs="Times New Roman"/>
        <w:lang w:val="de-DE"/>
      </w:rPr>
      <w:t>______________________________________________________________________________</w:t>
    </w:r>
  </w:p>
  <w:p w14:paraId="2A0BBF03" w14:textId="77777777" w:rsidR="00E13BA1" w:rsidRPr="00DD2D78" w:rsidRDefault="00E13BA1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C00A84"/>
    <w:multiLevelType w:val="hybridMultilevel"/>
    <w:tmpl w:val="44C475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643E74"/>
    <w:multiLevelType w:val="hybridMultilevel"/>
    <w:tmpl w:val="601E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29FE"/>
    <w:multiLevelType w:val="hybridMultilevel"/>
    <w:tmpl w:val="7F60037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FBD6E34"/>
    <w:multiLevelType w:val="multilevel"/>
    <w:tmpl w:val="6FBD6E3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23017">
    <w:abstractNumId w:val="0"/>
  </w:num>
  <w:num w:numId="2" w16cid:durableId="1828863371">
    <w:abstractNumId w:val="2"/>
  </w:num>
  <w:num w:numId="3" w16cid:durableId="698312357">
    <w:abstractNumId w:val="3"/>
  </w:num>
  <w:num w:numId="4" w16cid:durableId="1057823356">
    <w:abstractNumId w:val="1"/>
  </w:num>
  <w:num w:numId="5" w16cid:durableId="116139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95"/>
    <w:rsid w:val="00004705"/>
    <w:rsid w:val="00033295"/>
    <w:rsid w:val="00042DBF"/>
    <w:rsid w:val="000775A5"/>
    <w:rsid w:val="00092FDE"/>
    <w:rsid w:val="000A61C9"/>
    <w:rsid w:val="000B1F22"/>
    <w:rsid w:val="00140213"/>
    <w:rsid w:val="00153E0E"/>
    <w:rsid w:val="00165F24"/>
    <w:rsid w:val="00170E26"/>
    <w:rsid w:val="00180547"/>
    <w:rsid w:val="001A40CC"/>
    <w:rsid w:val="001A7C0D"/>
    <w:rsid w:val="001B35F9"/>
    <w:rsid w:val="001B4A3D"/>
    <w:rsid w:val="00203B66"/>
    <w:rsid w:val="0021278E"/>
    <w:rsid w:val="00221171"/>
    <w:rsid w:val="00222E8D"/>
    <w:rsid w:val="0025349B"/>
    <w:rsid w:val="00267CDD"/>
    <w:rsid w:val="0027168C"/>
    <w:rsid w:val="0029016B"/>
    <w:rsid w:val="0029043F"/>
    <w:rsid w:val="002A32AB"/>
    <w:rsid w:val="0033616A"/>
    <w:rsid w:val="003409BF"/>
    <w:rsid w:val="00361230"/>
    <w:rsid w:val="00397845"/>
    <w:rsid w:val="003B3E87"/>
    <w:rsid w:val="00405D68"/>
    <w:rsid w:val="004277DA"/>
    <w:rsid w:val="00434160"/>
    <w:rsid w:val="00436B2F"/>
    <w:rsid w:val="004403EF"/>
    <w:rsid w:val="00443AE2"/>
    <w:rsid w:val="0046567D"/>
    <w:rsid w:val="004B009C"/>
    <w:rsid w:val="004C3489"/>
    <w:rsid w:val="004E659C"/>
    <w:rsid w:val="00532AF1"/>
    <w:rsid w:val="00553B2E"/>
    <w:rsid w:val="0058081F"/>
    <w:rsid w:val="005B2200"/>
    <w:rsid w:val="00606366"/>
    <w:rsid w:val="00623BDD"/>
    <w:rsid w:val="00625023"/>
    <w:rsid w:val="006652B0"/>
    <w:rsid w:val="00690740"/>
    <w:rsid w:val="0069620A"/>
    <w:rsid w:val="006B7C00"/>
    <w:rsid w:val="00706DFC"/>
    <w:rsid w:val="007227D7"/>
    <w:rsid w:val="0074376E"/>
    <w:rsid w:val="00751914"/>
    <w:rsid w:val="00757F65"/>
    <w:rsid w:val="00776F92"/>
    <w:rsid w:val="007C2CB6"/>
    <w:rsid w:val="00821C5D"/>
    <w:rsid w:val="00824B79"/>
    <w:rsid w:val="00842A0B"/>
    <w:rsid w:val="00851C7C"/>
    <w:rsid w:val="00857761"/>
    <w:rsid w:val="008B6FF9"/>
    <w:rsid w:val="008C30DB"/>
    <w:rsid w:val="008D0F1A"/>
    <w:rsid w:val="00924603"/>
    <w:rsid w:val="00935712"/>
    <w:rsid w:val="0094676D"/>
    <w:rsid w:val="00957C5C"/>
    <w:rsid w:val="009A566B"/>
    <w:rsid w:val="00A15084"/>
    <w:rsid w:val="00A2413B"/>
    <w:rsid w:val="00A823AA"/>
    <w:rsid w:val="00A97F83"/>
    <w:rsid w:val="00AC2A5F"/>
    <w:rsid w:val="00AE1C8B"/>
    <w:rsid w:val="00AF01B7"/>
    <w:rsid w:val="00AF2A3E"/>
    <w:rsid w:val="00AF4B40"/>
    <w:rsid w:val="00B1249C"/>
    <w:rsid w:val="00B31401"/>
    <w:rsid w:val="00B35FC8"/>
    <w:rsid w:val="00B456F8"/>
    <w:rsid w:val="00B702EF"/>
    <w:rsid w:val="00B90266"/>
    <w:rsid w:val="00B91489"/>
    <w:rsid w:val="00BF232A"/>
    <w:rsid w:val="00C1434D"/>
    <w:rsid w:val="00C951E4"/>
    <w:rsid w:val="00CE64AA"/>
    <w:rsid w:val="00D31ED6"/>
    <w:rsid w:val="00D73E96"/>
    <w:rsid w:val="00D814DA"/>
    <w:rsid w:val="00DB48A4"/>
    <w:rsid w:val="00DC709B"/>
    <w:rsid w:val="00DD2D78"/>
    <w:rsid w:val="00DF3285"/>
    <w:rsid w:val="00DF6E38"/>
    <w:rsid w:val="00E0197D"/>
    <w:rsid w:val="00E13BA1"/>
    <w:rsid w:val="00E20DF4"/>
    <w:rsid w:val="00E40CC4"/>
    <w:rsid w:val="00E51BFE"/>
    <w:rsid w:val="00E57E8A"/>
    <w:rsid w:val="00E723C8"/>
    <w:rsid w:val="00E7329D"/>
    <w:rsid w:val="00ED62EE"/>
    <w:rsid w:val="00EF1300"/>
    <w:rsid w:val="00F304A2"/>
    <w:rsid w:val="00FB00E1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2CF5"/>
  <w15:chartTrackingRefBased/>
  <w15:docId w15:val="{A003C633-1BC7-4E54-8E48-13AE696A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9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2D78"/>
  </w:style>
  <w:style w:type="character" w:customStyle="1" w:styleId="Hyperlink1">
    <w:name w:val="Hyperlink1"/>
    <w:basedOn w:val="Fontdeparagrafimplicit"/>
    <w:uiPriority w:val="99"/>
    <w:unhideWhenUsed/>
    <w:rsid w:val="00DD2D78"/>
    <w:rPr>
      <w:color w:val="0563C1"/>
      <w:u w:val="single"/>
    </w:rPr>
  </w:style>
  <w:style w:type="character" w:styleId="Hyperlink">
    <w:name w:val="Hyperlink"/>
    <w:basedOn w:val="Fontdeparagrafimplicit"/>
    <w:uiPriority w:val="99"/>
    <w:semiHidden/>
    <w:unhideWhenUsed/>
    <w:rsid w:val="00DD2D78"/>
    <w:rPr>
      <w:color w:val="0563C1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DD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birou achizitii resurse</dc:creator>
  <cp:keywords/>
  <dc:description/>
  <cp:lastModifiedBy>Primaria Vint</cp:lastModifiedBy>
  <cp:revision>33</cp:revision>
  <cp:lastPrinted>2026-01-21T07:35:00Z</cp:lastPrinted>
  <dcterms:created xsi:type="dcterms:W3CDTF">2026-01-05T08:21:00Z</dcterms:created>
  <dcterms:modified xsi:type="dcterms:W3CDTF">2026-02-13T08:32:00Z</dcterms:modified>
</cp:coreProperties>
</file>