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49C" w14:textId="73B41BBD" w:rsidR="003517FF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8E0CB0">
        <w:rPr>
          <w:rFonts w:ascii="Times New Roman" w:eastAsia="Times New Roman" w:hAnsi="Times New Roman" w:cs="Times New Roman"/>
          <w:sz w:val="24"/>
          <w:szCs w:val="24"/>
          <w:lang w:eastAsia="ro-RO"/>
        </w:rPr>
        <w:t>12918/G/29.10.2025</w:t>
      </w:r>
    </w:p>
    <w:p w14:paraId="36491F08" w14:textId="77777777" w:rsidR="003517FF" w:rsidRDefault="00000000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2E384136" w14:textId="77777777" w:rsidR="003517FF" w:rsidRDefault="003517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F2A7D26" w14:textId="219D6ABA" w:rsidR="003517FF" w:rsidRPr="00555914" w:rsidRDefault="00000000" w:rsidP="0055591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Primăria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Vintu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Jos organizează concurs de promovare </w:t>
      </w:r>
      <w:bookmarkStart w:id="0" w:name="_Hlk135231173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grad profesional imediat superior celui deținut în cadrul </w:t>
      </w:r>
      <w:proofErr w:type="spellStart"/>
      <w:r w:rsidR="00555914" w:rsidRP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>Co</w:t>
      </w:r>
      <w:r w:rsid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>mpartimentului</w:t>
      </w:r>
      <w:r w:rsidRP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>i</w:t>
      </w:r>
      <w:proofErr w:type="spellEnd"/>
      <w:r w:rsidRP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Resurse-umane, Achiziții publice, </w:t>
      </w:r>
      <w:proofErr w:type="spellStart"/>
      <w:r w:rsidRP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Investițiiși</w:t>
      </w:r>
      <w:proofErr w:type="spellEnd"/>
      <w:r w:rsidRPr="0055591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Servicii publice, Strategii, Programe, Proiecte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al comunei Vințu de Jos</w:t>
      </w:r>
    </w:p>
    <w:p w14:paraId="5C0FEE0C" w14:textId="01D43ADD" w:rsidR="003517FF" w:rsidRDefault="00000000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bookmarkStart w:id="1" w:name="_Hlk212556655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Consilier </w:t>
      </w:r>
      <w:r w:rsidR="003850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Achiziții </w:t>
      </w:r>
      <w:proofErr w:type="spellStart"/>
      <w:r w:rsidR="003850DB">
        <w:rPr>
          <w:rFonts w:ascii="Times New Roman" w:eastAsia="Calibri" w:hAnsi="Times New Roman" w:cs="Times New Roman"/>
          <w:b/>
          <w:bCs/>
          <w:sz w:val="24"/>
          <w:szCs w:val="24"/>
        </w:rPr>
        <w:t>publice,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clasa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I, Grad profesional imediat superior celui deținut în cadrul </w:t>
      </w:r>
      <w:r w:rsidR="00555914">
        <w:rPr>
          <w:rFonts w:ascii="Times New Roman" w:eastAsia="Calibri" w:hAnsi="Times New Roman"/>
          <w:b/>
          <w:bCs/>
          <w:sz w:val="24"/>
          <w:szCs w:val="24"/>
        </w:rPr>
        <w:t xml:space="preserve">Compartimentului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Resurse-umane, Achiziții publice,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</w:rPr>
        <w:t>Investițiiși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</w:rPr>
        <w:t xml:space="preserve"> Servicii publice, Strategii, Programe, Proiecte al comunei Vințu de Jos</w:t>
      </w:r>
    </w:p>
    <w:bookmarkEnd w:id="1"/>
    <w:p w14:paraId="3DE00D0C" w14:textId="1D580067" w:rsidR="003517FF" w:rsidRDefault="00000000">
      <w:pPr>
        <w:shd w:val="clear" w:color="auto" w:fill="DBE5F1" w:themeFill="accent1" w:themeFillTint="3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Condiții pentru </w:t>
      </w:r>
      <w:r w:rsid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promovarea într-un grad imediat superior </w:t>
      </w:r>
      <w:r w:rsidR="003850DB" w:rsidRP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deținut în cadrul Compartimentului Resurse-umane, Achiziții publice, Investiții</w:t>
      </w:r>
      <w:r w:rsidR="00C30E0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="003850DB" w:rsidRP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și Servicii publice</w:t>
      </w:r>
      <w:r w:rsid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de </w:t>
      </w:r>
      <w:r w:rsidR="003850DB" w:rsidRP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Consilier Achiziții publice,clasa</w:t>
      </w:r>
      <w:r w:rsid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I</w:t>
      </w:r>
      <w:r w:rsidR="003850DB" w:rsidRPr="003850D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, Strategii, Programe, Proiecte al comunei Vințu de Jos</w:t>
      </w:r>
    </w:p>
    <w:p w14:paraId="576158FA" w14:textId="77777777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en-US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Candidaţii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trebuie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să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îndeplinească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condiţiile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prevăzute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de art.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468,alin.(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1) din OUG nr.57/2019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privind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Codul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Administrativ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  <w:t>.</w:t>
      </w:r>
    </w:p>
    <w:p w14:paraId="5AF6580D" w14:textId="77777777" w:rsidR="003850DB" w:rsidRDefault="00000000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en-US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să îndeplinească condițiile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prevazute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art. 479, alin(1),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lit.a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),c) și d) din OUG nr.57/2019 privind Codul Administrativ</w:t>
      </w:r>
      <w:r w:rsidR="003850DB">
        <w:rPr>
          <w:rFonts w:ascii="Times New Roman" w:eastAsia="Times New Roman" w:hAnsi="Times New Roman" w:cs="Times New Roman"/>
          <w:sz w:val="24"/>
          <w:szCs w:val="24"/>
          <w:lang w:eastAsia="ro-RO"/>
        </w:rPr>
        <w:t>, astfel:</w:t>
      </w:r>
    </w:p>
    <w:p w14:paraId="18AB9C54" w14:textId="6EF22806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Condiţii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pentru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concursul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sau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examenul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promovare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grad </w:t>
      </w:r>
      <w:proofErr w:type="spellStart"/>
      <w:r w:rsidRPr="003850D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profesional</w:t>
      </w:r>
      <w:proofErr w:type="spellEnd"/>
    </w:p>
    <w:p w14:paraId="0A98FA7E" w14:textId="77777777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(1)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participa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concursul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examenul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promovare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grad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profesional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funcţionarul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public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trebuie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îndeplinească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cumulativ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următoarele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condiţii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:</w:t>
      </w:r>
    </w:p>
    <w:p w14:paraId="29CE5B30" w14:textId="77777777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a)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aibă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cel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puţin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3 ani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vechime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gradul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profesional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al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funcţiei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publice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din care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promovează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6C8D08BE" w14:textId="77777777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b)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fi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obţinut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un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număr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minim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credite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prin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participarea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la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programe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formare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perfecţionare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seminare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conferinţe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schimburi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experienţă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vizite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studiu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condiţiile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legii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sau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fi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urmat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o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formă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perfecţionare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profesională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cu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durata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minimum 30 de ore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ultimii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3 ani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activitate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799545B9" w14:textId="77777777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c)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fi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obţinut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cel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puţin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calificativul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"bine" la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evaluarea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performanţelor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individuale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ultimii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2 ani de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activitate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;</w:t>
      </w:r>
    </w:p>
    <w:p w14:paraId="6EA0CF34" w14:textId="77777777" w:rsidR="003850DB" w:rsidRPr="003850DB" w:rsidRDefault="003850DB" w:rsidP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d)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nu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aibă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o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sancţiune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disciplinară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neradiată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în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condiţiile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prezentului</w:t>
      </w:r>
      <w:proofErr w:type="spellEnd"/>
      <w:r w:rsidRPr="003850D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cod.</w:t>
      </w:r>
    </w:p>
    <w:p w14:paraId="3DD2B9DD" w14:textId="77777777" w:rsidR="003850DB" w:rsidRPr="003850DB" w:rsidRDefault="003850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19C99DFF" w14:textId="77777777" w:rsidR="003517FF" w:rsidRDefault="003517FF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6BEEEC4" w14:textId="77777777" w:rsidR="003517FF" w:rsidRDefault="00000000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>Concursul de promovare se va organiza la sediul Primăriei comunei Vințu de Jos, conform calendarului următor:</w:t>
      </w:r>
    </w:p>
    <w:p w14:paraId="45DAB8B5" w14:textId="3832484C" w:rsidR="003517FF" w:rsidRDefault="00385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03.11.2025-  24.11.2025 perioada de  depunere a dosarelor;</w:t>
      </w:r>
    </w:p>
    <w:p w14:paraId="72ECD9FB" w14:textId="08C6F754" w:rsidR="003517FF" w:rsidRDefault="000000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termen de maximum 5 zile lucrătoare de la data expirării termenului de depunere a dosarelor- </w:t>
      </w:r>
      <w:r w:rsidR="003850DB">
        <w:rPr>
          <w:rFonts w:ascii="Times New Roman" w:eastAsia="Times New Roman" w:hAnsi="Times New Roman" w:cs="Times New Roman"/>
          <w:sz w:val="24"/>
          <w:szCs w:val="24"/>
          <w:lang w:eastAsia="ro-RO"/>
        </w:rPr>
        <w:t>verificarea eligibilității candidaților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03737769" w14:textId="430EB9AC" w:rsidR="003517FF" w:rsidRDefault="00385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04.12.2025, ora 10.00- proba scrisă ;</w:t>
      </w:r>
    </w:p>
    <w:p w14:paraId="7FB8A91E" w14:textId="7E4370CC" w:rsidR="003517FF" w:rsidRDefault="00385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04.12.2025,ora 14.30-afișare rezultate;</w:t>
      </w:r>
    </w:p>
    <w:p w14:paraId="6A3CEA05" w14:textId="036153D3" w:rsidR="003517FF" w:rsidRDefault="00385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05.12.2025,ora 14.30-depunere contestații proba scrisă;</w:t>
      </w:r>
    </w:p>
    <w:p w14:paraId="3DEAA10D" w14:textId="5CB91A29" w:rsidR="003517FF" w:rsidRDefault="003850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05.12.2025,ora 16.00-afișare rezultate contestație proba scrisă;</w:t>
      </w:r>
    </w:p>
    <w:p w14:paraId="161993E9" w14:textId="275930C7" w:rsidR="003517FF" w:rsidRPr="00C03815" w:rsidRDefault="00000000" w:rsidP="00C038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Interviul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 termen de maximum 5 zile lucrătoare de la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susţinerii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probei scrise</w:t>
      </w:r>
      <w:r w:rsidR="00C0381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BC7FEA0" w14:textId="77777777" w:rsidR="00C03815" w:rsidRPr="00A36745" w:rsidRDefault="00C03815" w:rsidP="00C03815">
      <w:pPr>
        <w:shd w:val="clear" w:color="auto" w:fill="DBE5F1" w:themeFill="accent1" w:themeFillTint="3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Bibliografia de concurs pentru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promovarea în grad profesional imediat superior</w:t>
      </w:r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în cadrul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Compartimentului</w:t>
      </w:r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Resurse-</w:t>
      </w:r>
      <w:proofErr w:type="spellStart"/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umane,Investiții,Achiziții</w:t>
      </w:r>
      <w:proofErr w:type="spellEnd"/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publice și servicii publice, </w:t>
      </w:r>
      <w:proofErr w:type="spellStart"/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Strategii,Programe,Proiecte</w:t>
      </w:r>
      <w:proofErr w:type="spellEnd"/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al comunei Vințu de Jos, județ Alba</w:t>
      </w:r>
    </w:p>
    <w:p w14:paraId="4280432D" w14:textId="7ECBF6B9" w:rsidR="00C03815" w:rsidRPr="00C30E0C" w:rsidRDefault="00C30E0C" w:rsidP="00C30E0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</w:pPr>
      <w:r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1.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Constituţia României, republicată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2.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urgenţă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a Guvernului nr. 57/2019,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ulterioare,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3.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Ordonanţa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Guvernului nr. 137/2000 privind prevenirea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sancţionarea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tuturor formelor de discriminare, republicată,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4. Legea nr. 202/2002 privind egalitatea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şanse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de tratament între femei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bărbaţi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, republicată,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ulterioare.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5. Legea nr. 98/2016 privind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achiziţiile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publice,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ulterioare;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6. Hotărârea nr.395/2016 pentru aprobarea Normelor metodologice de aplicare a prevederilor referitoare la atribuirea contractului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achiziţie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publică/acordului-cadru din Legea nr.98/2016 privind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achiziţiile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publice;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7. Legea nr. 101/2016 privind remediile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căile de atac în materie de atribuire a contractelor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achiziţie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publică, a contractelor sectoriale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a contractelor de concesiune de lucrări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concesiune de servicii, precum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pentru organizarea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funcţionarea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Consiliului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Naţional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Soluţionare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a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Contestaţiilor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;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8. Hotărârea nr. 907/2016 privind etapele de elaborare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conţinutul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-cadru al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documentaţiilor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tehnico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-economice aferente obiectivelor/proiectelor de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investiţii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finanţate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din fonduri publice,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ulterioare;</w:t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</w:rPr>
        <w:br/>
      </w:r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9. Hotărârea nr. 273/1994 privind aprobarea Regulamentului privind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recepţia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construcţiilor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, cu modificările </w:t>
      </w:r>
      <w:proofErr w:type="spellStart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>şi</w:t>
      </w:r>
      <w:proofErr w:type="spellEnd"/>
      <w:r w:rsidR="00C03815" w:rsidRPr="00C30E0C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</w:rPr>
        <w:t xml:space="preserve"> completările ulterioare;</w:t>
      </w:r>
    </w:p>
    <w:p w14:paraId="4D9DE359" w14:textId="537BEDE4" w:rsidR="00C03815" w:rsidRDefault="00C30E0C" w:rsidP="00C30E0C">
      <w:pPr>
        <w:pStyle w:val="Frspaier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212529"/>
          <w:sz w:val="24"/>
          <w:szCs w:val="24"/>
        </w:rPr>
        <w:t xml:space="preserve">   </w:t>
      </w:r>
      <w:r w:rsidR="00C03815">
        <w:rPr>
          <w:rFonts w:ascii="Times New Roman" w:eastAsia="Calibri" w:hAnsi="Times New Roman" w:cs="Times New Roman"/>
          <w:color w:val="212529"/>
          <w:sz w:val="24"/>
          <w:szCs w:val="24"/>
        </w:rPr>
        <w:t xml:space="preserve">10. </w:t>
      </w:r>
      <w:r w:rsidR="00C03815"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Legea Nr. 227/2015 din 8 septembrie 2015  ;</w:t>
      </w:r>
    </w:p>
    <w:p w14:paraId="1896E781" w14:textId="0D193394" w:rsidR="00C03815" w:rsidRPr="00C03815" w:rsidRDefault="00C03815" w:rsidP="00C03815">
      <w:pPr>
        <w:pStyle w:val="Frspaier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212529"/>
          <w:sz w:val="24"/>
          <w:szCs w:val="24"/>
        </w:rPr>
        <w:t xml:space="preserve">   11</w:t>
      </w:r>
      <w:r w:rsidR="00C30E0C">
        <w:rPr>
          <w:rFonts w:ascii="Times New Roman" w:eastAsia="Calibri" w:hAnsi="Times New Roman" w:cs="Times New Roman"/>
          <w:color w:val="212529"/>
          <w:sz w:val="24"/>
          <w:szCs w:val="24"/>
        </w:rPr>
        <w:t>.</w:t>
      </w:r>
      <w:r w:rsidR="00C30E0C" w:rsidRPr="00C30E0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C30E0C"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HOTĂRÂREA  Nr. 1/2016 din 6 ianuarie 2016</w:t>
      </w:r>
      <w:r w:rsidR="00C30E0C" w:rsidRPr="00C30E0C">
        <w:t xml:space="preserve"> </w:t>
      </w:r>
      <w:r w:rsidR="00C30E0C" w:rsidRPr="00C30E0C">
        <w:rPr>
          <w:rFonts w:ascii="Times New Roman" w:eastAsia="Times New Roman" w:hAnsi="Times New Roman" w:cs="Times New Roman"/>
          <w:sz w:val="24"/>
          <w:szCs w:val="24"/>
          <w:lang w:eastAsia="ro-RO"/>
        </w:rPr>
        <w:t>pentru aprobarea Normelor metodologice de aplicare a Legii nr. 227/2015 privind Codul fiscal</w:t>
      </w:r>
      <w:r w:rsidR="00C30E0C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03BF895" w14:textId="4A4F6B1F" w:rsidR="00C03815" w:rsidRPr="00A36745" w:rsidRDefault="00C03815" w:rsidP="003850DB">
      <w:pPr>
        <w:pStyle w:val="Frspaiere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A3674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Tematica de concurs pentru promovarea într-un grad profesional imediat superior:</w:t>
      </w:r>
    </w:p>
    <w:p w14:paraId="47BC5939" w14:textId="77777777" w:rsidR="00C03815" w:rsidRPr="00A36745" w:rsidRDefault="00C03815" w:rsidP="00C03815">
      <w:pPr>
        <w:pStyle w:val="Frspaier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p</w:t>
      </w:r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artea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I,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partea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gram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a</w:t>
      </w:r>
      <w:proofErr w:type="gram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II-a,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titlul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I</w:t>
      </w:r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şi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titlul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II</w:t>
      </w:r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,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partea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gram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a</w:t>
      </w:r>
      <w:proofErr w:type="gram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IV-a,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titlul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I</w:t>
      </w:r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şi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partea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a VI-a,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titlul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I</w:t>
      </w:r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>şi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o-RO"/>
        </w:rPr>
        <w:t xml:space="preserve"> </w:t>
      </w:r>
      <w:proofErr w:type="spellStart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titlul</w:t>
      </w:r>
      <w:proofErr w:type="spellEnd"/>
      <w:r w:rsidRPr="00A3674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II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din OUG nr.57/2019,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Codul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modificăriel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și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o-RO"/>
        </w:rPr>
        <w:t>ulterioare</w:t>
      </w:r>
      <w:proofErr w:type="spellEnd"/>
    </w:p>
    <w:p w14:paraId="1FB7CB88" w14:textId="77777777" w:rsidR="00C03815" w:rsidRPr="00A36745" w:rsidRDefault="00C03815" w:rsidP="00C03815">
      <w:pPr>
        <w:pStyle w:val="Frspaier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Partea I privind Codul fiscal-TITLUL IX- Impozite </w:t>
      </w:r>
      <w:proofErr w:type="spellStart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taxe locale din Legea Nr. 227/2015 din 8 septembrie 2015  ;</w:t>
      </w:r>
    </w:p>
    <w:p w14:paraId="6907E27E" w14:textId="77777777" w:rsidR="00C03815" w:rsidRPr="00A36745" w:rsidRDefault="00C03815" w:rsidP="00C03815">
      <w:pPr>
        <w:pStyle w:val="Frspaier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</w:t>
      </w:r>
      <w:bookmarkStart w:id="2" w:name="_Hlk212620797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HOTĂRÂREA  Nr. 1/2016 din 6 ianuarie 2016 </w:t>
      </w:r>
      <w:bookmarkEnd w:id="2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- Partea a II-a</w:t>
      </w:r>
    </w:p>
    <w:p w14:paraId="6E88DD8D" w14:textId="77777777" w:rsidR="00C03815" w:rsidRDefault="00C03815" w:rsidP="00C03815">
      <w:pPr>
        <w:pStyle w:val="Frspaiere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3" w:name="_Hlk212620814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pentru aprobarea Normelor metodologice de aplicare a Legii nr. 227/2015 privind Codul fiscal </w:t>
      </w:r>
      <w:bookmarkEnd w:id="3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(Partea a II-a </w:t>
      </w:r>
      <w:proofErr w:type="spellStart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conţine</w:t>
      </w:r>
      <w:proofErr w:type="spellEnd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normele metodologice de aplicare a titlurilor VIII - X din Codul fiscal) - TITLUL IX- Impozite </w:t>
      </w:r>
      <w:proofErr w:type="spellStart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A3674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taxe locale.</w:t>
      </w:r>
    </w:p>
    <w:p w14:paraId="01D12B9A" w14:textId="77777777" w:rsidR="003517FF" w:rsidRPr="00C03815" w:rsidRDefault="003517FF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</w:p>
    <w:p w14:paraId="50826A9E" w14:textId="77777777" w:rsidR="003517FF" w:rsidRDefault="003517FF">
      <w:pPr>
        <w:pStyle w:val="Frspaiere"/>
        <w:shd w:val="clear" w:color="auto" w:fill="DBE5F1" w:themeFill="accent1" w:themeFillTint="3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CFF48C" w14:textId="3E97745D" w:rsidR="003517FF" w:rsidRPr="00C30E0C" w:rsidRDefault="00000000" w:rsidP="00255FE0">
      <w:pPr>
        <w:pStyle w:val="Frspaiere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Conform art.</w:t>
      </w:r>
      <w:r w:rsidR="00255FE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156, alin(5)</w:t>
      </w:r>
      <w:r w:rsidR="00C30E0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la </w:t>
      </w:r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ANEXA 2  (</w:t>
      </w:r>
      <w:proofErr w:type="spellStart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o-RO"/>
        </w:rPr>
        <w:t>Anexa</w:t>
      </w:r>
      <w:proofErr w:type="spellEnd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o-RO"/>
        </w:rPr>
        <w:t xml:space="preserve"> nr. 10</w:t>
      </w:r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la </w:t>
      </w:r>
      <w:proofErr w:type="spellStart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Ordonanţa</w:t>
      </w:r>
      <w:proofErr w:type="spellEnd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de </w:t>
      </w:r>
      <w:proofErr w:type="spellStart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urgenţă</w:t>
      </w:r>
      <w:proofErr w:type="spellEnd"/>
      <w:r w:rsidR="00C30E0C" w:rsidRP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nr. 57/2019)</w:t>
      </w:r>
      <w:r w:rsidR="00C30E0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din </w:t>
      </w:r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ORDONAN</w:t>
      </w:r>
      <w:r w:rsid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ȚA</w:t>
      </w:r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gram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URGENŢĂ  Nr</w:t>
      </w:r>
      <w:proofErr w:type="gram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121/2023 din 21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decembrie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2023</w:t>
      </w:r>
      <w:r w:rsid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modificarea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şi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completarea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Ordonanţei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urgenţă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Guvernului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nr. 57/2019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privind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Codul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administrativ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precum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şi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modificarea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art. III din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Ordonanţa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urgenţă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Guvernului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nr. 191/2022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pentru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modificarea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şi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completarea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Ordonanţei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urgenţă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Guvernului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nr. 57/2019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privind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Codul</w:t>
      </w:r>
      <w:proofErr w:type="spellEnd"/>
      <w:r w:rsidR="00255FE0" w:rsidRP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 w:rsid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>administrativ</w:t>
      </w:r>
      <w:proofErr w:type="spellEnd"/>
      <w:r w:rsidR="00255FE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802E47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proofErr w:type="gramEnd"/>
      <w:r w:rsidR="00802E4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Dosarul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concurs 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depune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către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candidaţi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termen de 20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zile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la data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publicării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anunţului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organizarea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concursului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sau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examenului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promovare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grad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profesional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condiţiile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prevăzute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de art. </w:t>
      </w:r>
      <w:r w:rsidR="00802E47">
        <w:rPr>
          <w:rFonts w:ascii="Times New Roman" w:hAnsi="Times New Roman" w:cs="Times New Roman"/>
          <w:b/>
          <w:bCs/>
          <w:sz w:val="24"/>
          <w:szCs w:val="24"/>
          <w:lang w:val="en-GB"/>
        </w:rPr>
        <w:t>152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conţine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mod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obligatoriu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GB"/>
        </w:rPr>
        <w:t xml:space="preserve">   </w:t>
      </w:r>
    </w:p>
    <w:p w14:paraId="08E63E87" w14:textId="52F926ED" w:rsidR="003850DB" w:rsidRPr="003850DB" w:rsidRDefault="00255FE0" w:rsidP="0038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</w:t>
      </w:r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a)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copie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pe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carnetul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muncă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sau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adeverinţa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eliberată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compartimentul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resurse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umane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vederea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atestării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vechimii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gradul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profesional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care se </w:t>
      </w:r>
      <w:proofErr w:type="spellStart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promovează</w:t>
      </w:r>
      <w:proofErr w:type="spellEnd"/>
      <w:r w:rsidR="003850DB" w:rsidRPr="003850DB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03F96430" w14:textId="77777777" w:rsidR="003850DB" w:rsidRPr="003850DB" w:rsidRDefault="003850DB" w:rsidP="0038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b)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copii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pe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rapoartele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evaluare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performanţelor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profesionale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individuale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din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ultimii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2 ani de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activitate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3FFC0E23" w14:textId="734B1AD0" w:rsidR="003850DB" w:rsidRPr="003850DB" w:rsidRDefault="003850DB" w:rsidP="0038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c)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adeverinţa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eliberată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compartimentul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resurse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umane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vederea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atestării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situaţiei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disciplinare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a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funcţionarului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public,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în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care se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menţionează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expres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dacă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acestuia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i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-a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fost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aplicată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o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sancţiune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disciplinară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care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să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nu fi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fost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radiată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;</w:t>
      </w:r>
    </w:p>
    <w:p w14:paraId="0D2F8688" w14:textId="63BEDC9B" w:rsidR="003850DB" w:rsidRDefault="003850DB" w:rsidP="0038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>d</w:t>
      </w:r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)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formularul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de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înscriere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>prevăzut</w:t>
      </w:r>
      <w:proofErr w:type="spellEnd"/>
      <w:r w:rsidRPr="003850DB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la art. 137 lit. b).</w:t>
      </w:r>
    </w:p>
    <w:p w14:paraId="63E0B27A" w14:textId="63068BD6" w:rsidR="003517FF" w:rsidRDefault="00000000" w:rsidP="00385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Detalii privind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condiţiile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specifice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bibliografia de concurs sunt disponibile accesând </w:t>
      </w:r>
      <w:hyperlink r:id="rId8" w:tgtFrame="_blank" w:history="1">
        <w:r w:rsidR="003517F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o-RO"/>
          </w:rPr>
          <w:t>pagina oficială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  <w:t xml:space="preserve"> : www.vintudejos.ro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suplimentare se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obţine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sediul Primăriei comunei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Vintu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Jos sau la telefon:0258739234,int.13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</w:t>
      </w:r>
    </w:p>
    <w:p w14:paraId="3E2BE9C2" w14:textId="77777777" w:rsidR="003517FF" w:rsidRDefault="00000000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concurs propuși,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sunt:</w:t>
      </w:r>
    </w:p>
    <w:p w14:paraId="35B37F7C" w14:textId="3FBBFC13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="00C30E0C" w:rsidRP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Muntean Claudia-Lavinia- Secretar General UAT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-Președinte;</w:t>
      </w:r>
    </w:p>
    <w:p w14:paraId="422E80E1" w14:textId="29C2482F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2.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Neagu Eugenia Ana – Șef Serviciu în cadrul Serviciului Resurse-Umane, Achiziții publice, Investiții și Servicii publice , Strategii,Programe, Proiecte, Impozite și taxe locale al Comunei Vințu de Jos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membru;</w:t>
      </w:r>
    </w:p>
    <w:p w14:paraId="0D13007F" w14:textId="334A71DA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Romoșan Andreea-Mihaela-Consilier clasa I, Grad profesional Principal în cadrul Compartimentului Urbanism , amenajarea teritoriului și lucrări publice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-membru.</w:t>
      </w:r>
    </w:p>
    <w:p w14:paraId="5654B111" w14:textId="6D44F26A" w:rsidR="00F607AD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Membru supleant: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Mădăraș Florina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-Consilier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clasa  I,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grad profesional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Superior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în cadrul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compartimentului cadastru, fond-funciar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al Comunei Vințu de Jos.</w:t>
      </w:r>
    </w:p>
    <w:p w14:paraId="2D06C9ED" w14:textId="2E6791E4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solutionare a contestatiilor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propuși, sunt:</w:t>
      </w:r>
    </w:p>
    <w:p w14:paraId="787D4F01" w14:textId="04B3FD71" w:rsidR="003517FF" w:rsidRDefault="0000000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1.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Stângaciu Anișoara Rodica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Consilier clasa I, grad profesional Principal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în cadrul Compartimentului 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impozite și taxe locale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al Comunei Vințu de Jos,județ Alba-Președinte;</w:t>
      </w:r>
    </w:p>
    <w:p w14:paraId="7A4CC542" w14:textId="77777777" w:rsidR="003517FF" w:rsidRDefault="0000000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2.Radu Ileana- Consilier Superior în cadrul Compartimentului Cadastru , Fond-funciar al Comunei Vințu de Jos- membru;</w:t>
      </w:r>
    </w:p>
    <w:p w14:paraId="6E386464" w14:textId="1BA88566" w:rsidR="003517FF" w:rsidRDefault="0000000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3.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Păduraru Camelia-Consilier clasa I, grad profesional superior în cadrul Compartimentului Asistență socială, autoritate tutelară și stare civilă al comunei Vințu de Jos-Membru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470546E" w14:textId="081EC2B0" w:rsidR="003517FF" w:rsidRDefault="0000000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Membru supleant:</w:t>
      </w:r>
      <w:r w:rsid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Șenchea Izabela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Ana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- </w:t>
      </w:r>
      <w:r w:rsidR="00F607AD" w:rsidRPr="00F607AD">
        <w:rPr>
          <w:rFonts w:ascii="Times New Roman" w:eastAsia="Times New Roman" w:hAnsi="Times New Roman" w:cs="Times New Roman"/>
          <w:sz w:val="24"/>
          <w:szCs w:val="24"/>
          <w:lang w:val="it-IT"/>
        </w:rPr>
        <w:t>grad profesional superior în cadrul Compartimentului Asistență socială, autoritate tutelară și stare civilă al comunei Vințu de Jos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1744BB69" w14:textId="77777777" w:rsidR="00C30E0C" w:rsidRDefault="00C30E0C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33D9585E" w14:textId="77777777" w:rsidR="00C30E0C" w:rsidRDefault="00C30E0C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463BC6D" w14:textId="42D65721" w:rsidR="003517FF" w:rsidRDefault="00000000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lastRenderedPageBreak/>
        <w:t>Secretarul comisiei de concurs și a comisiei de soluționare a contestațiilor:</w:t>
      </w:r>
    </w:p>
    <w:p w14:paraId="614091D7" w14:textId="1DE108B7" w:rsidR="003517FF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Drăgan Ionela –Referent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clasa III, Grad profesional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Superior în cadrul 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Compartimentului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resurse umane,investiții, achiziții publice și servicii publice,strategii,programe,proiecte</w:t>
      </w:r>
      <w:r w:rsidR="00C30E0C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14:paraId="0527C2B2" w14:textId="77777777" w:rsidR="003517FF" w:rsidRDefault="00000000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6164D51E" w14:textId="77777777" w:rsidR="003517FF" w:rsidRDefault="00000000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Primar,</w:t>
      </w:r>
    </w:p>
    <w:p w14:paraId="7450D169" w14:textId="0B0F0F53" w:rsidR="003517FF" w:rsidRDefault="005559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Simona-Maria Cazan</w:t>
      </w:r>
    </w:p>
    <w:sectPr w:rsidR="003517F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11672" w14:textId="77777777" w:rsidR="00013E42" w:rsidRDefault="00013E42">
      <w:pPr>
        <w:spacing w:line="240" w:lineRule="auto"/>
      </w:pPr>
      <w:r>
        <w:separator/>
      </w:r>
    </w:p>
  </w:endnote>
  <w:endnote w:type="continuationSeparator" w:id="0">
    <w:p w14:paraId="10261509" w14:textId="77777777" w:rsidR="00013E42" w:rsidRDefault="00013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589E" w14:textId="315D50D8" w:rsidR="003517FF" w:rsidRDefault="00000000">
    <w:pPr>
      <w:pStyle w:val="Subsol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I.D/2Ex,</w:t>
    </w:r>
    <w:r w:rsidR="007215AF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pag/G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1F87" w14:textId="77777777" w:rsidR="00013E42" w:rsidRDefault="00013E42">
      <w:pPr>
        <w:spacing w:after="0"/>
      </w:pPr>
      <w:r>
        <w:separator/>
      </w:r>
    </w:p>
  </w:footnote>
  <w:footnote w:type="continuationSeparator" w:id="0">
    <w:p w14:paraId="3FED12CB" w14:textId="77777777" w:rsidR="00013E42" w:rsidRDefault="00013E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DDA19" w14:textId="77777777" w:rsidR="003517FF" w:rsidRDefault="003517F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2494B33F" w14:textId="77777777" w:rsidR="003517FF" w:rsidRDefault="0000000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77AD3A45" w14:textId="77777777" w:rsidR="003517FF" w:rsidRDefault="00000000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53CAE58B" wp14:editId="29D4D945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4BA166B9" w14:textId="77777777" w:rsidR="003517FF" w:rsidRDefault="00000000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09EE9237" w14:textId="77777777" w:rsidR="003517FF" w:rsidRDefault="00000000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659FE263" wp14:editId="41BCE441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="003517FF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509C1DA3" w14:textId="5FD640EB" w:rsidR="003517FF" w:rsidRDefault="00000000" w:rsidP="00555914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hyperlink r:id="rId4" w:history="1">
      <w:r w:rsidR="00555914" w:rsidRPr="0054567B">
        <w:rPr>
          <w:rStyle w:val="Hyperlink"/>
          <w:rFonts w:ascii="Times New Roman" w:eastAsia="Times New Roman" w:hAnsi="Times New Roman" w:cs="Times New Roman"/>
          <w:sz w:val="20"/>
          <w:szCs w:val="20"/>
          <w:lang w:val="en-US"/>
        </w:rPr>
        <w:t>resurseachiziții_vintudejos@ab.e-adm.ro_</w:t>
      </w:r>
    </w:hyperlink>
  </w:p>
  <w:p w14:paraId="1CECC056" w14:textId="0D341CCB" w:rsidR="00555914" w:rsidRPr="00555914" w:rsidRDefault="00555914" w:rsidP="00555914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7307"/>
    <w:multiLevelType w:val="hybridMultilevel"/>
    <w:tmpl w:val="9D4ACB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85828"/>
    <w:multiLevelType w:val="hybridMultilevel"/>
    <w:tmpl w:val="5E4CDEC0"/>
    <w:lvl w:ilvl="0" w:tplc="E5FC94D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83512"/>
    <w:multiLevelType w:val="multilevel"/>
    <w:tmpl w:val="543835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507773">
    <w:abstractNumId w:val="2"/>
  </w:num>
  <w:num w:numId="2" w16cid:durableId="160699092">
    <w:abstractNumId w:val="1"/>
  </w:num>
  <w:num w:numId="3" w16cid:durableId="207489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E"/>
    <w:rsid w:val="00013E42"/>
    <w:rsid w:val="000243BD"/>
    <w:rsid w:val="00024E64"/>
    <w:rsid w:val="00025486"/>
    <w:rsid w:val="00042962"/>
    <w:rsid w:val="00070C85"/>
    <w:rsid w:val="000729F0"/>
    <w:rsid w:val="0008635D"/>
    <w:rsid w:val="00090CF2"/>
    <w:rsid w:val="00096D39"/>
    <w:rsid w:val="000B6C8B"/>
    <w:rsid w:val="000B777E"/>
    <w:rsid w:val="000B7E5D"/>
    <w:rsid w:val="001956A6"/>
    <w:rsid w:val="001A1FE4"/>
    <w:rsid w:val="001D0F1B"/>
    <w:rsid w:val="001E407E"/>
    <w:rsid w:val="0020436A"/>
    <w:rsid w:val="00231E84"/>
    <w:rsid w:val="00255FE0"/>
    <w:rsid w:val="002F3CF2"/>
    <w:rsid w:val="003075B1"/>
    <w:rsid w:val="00311054"/>
    <w:rsid w:val="00336AC1"/>
    <w:rsid w:val="003517FF"/>
    <w:rsid w:val="003850DB"/>
    <w:rsid w:val="003B7093"/>
    <w:rsid w:val="003D2700"/>
    <w:rsid w:val="00416EC3"/>
    <w:rsid w:val="00426508"/>
    <w:rsid w:val="00437A74"/>
    <w:rsid w:val="0044275B"/>
    <w:rsid w:val="00446378"/>
    <w:rsid w:val="00447010"/>
    <w:rsid w:val="00517AF5"/>
    <w:rsid w:val="00535896"/>
    <w:rsid w:val="0053630E"/>
    <w:rsid w:val="00555914"/>
    <w:rsid w:val="00592918"/>
    <w:rsid w:val="005F238A"/>
    <w:rsid w:val="006540B6"/>
    <w:rsid w:val="00664B41"/>
    <w:rsid w:val="006E67A6"/>
    <w:rsid w:val="006F2A37"/>
    <w:rsid w:val="00706537"/>
    <w:rsid w:val="007124BA"/>
    <w:rsid w:val="007178F5"/>
    <w:rsid w:val="007215AF"/>
    <w:rsid w:val="00726DF7"/>
    <w:rsid w:val="00744C94"/>
    <w:rsid w:val="007456FE"/>
    <w:rsid w:val="00771FD1"/>
    <w:rsid w:val="00793F08"/>
    <w:rsid w:val="007C08B5"/>
    <w:rsid w:val="007C48F0"/>
    <w:rsid w:val="007E4315"/>
    <w:rsid w:val="00802E47"/>
    <w:rsid w:val="00815A99"/>
    <w:rsid w:val="00865CA8"/>
    <w:rsid w:val="00875C83"/>
    <w:rsid w:val="0087733E"/>
    <w:rsid w:val="00891019"/>
    <w:rsid w:val="00891F66"/>
    <w:rsid w:val="008B0093"/>
    <w:rsid w:val="008C498C"/>
    <w:rsid w:val="008E0CB0"/>
    <w:rsid w:val="0090500F"/>
    <w:rsid w:val="00933DAC"/>
    <w:rsid w:val="00937F5E"/>
    <w:rsid w:val="009513D5"/>
    <w:rsid w:val="00955F49"/>
    <w:rsid w:val="00956690"/>
    <w:rsid w:val="0096235E"/>
    <w:rsid w:val="009B1CC3"/>
    <w:rsid w:val="009D1106"/>
    <w:rsid w:val="009D6644"/>
    <w:rsid w:val="009E49A1"/>
    <w:rsid w:val="009F4105"/>
    <w:rsid w:val="00A475BA"/>
    <w:rsid w:val="00B14A66"/>
    <w:rsid w:val="00B1610F"/>
    <w:rsid w:val="00B3788E"/>
    <w:rsid w:val="00B47DE7"/>
    <w:rsid w:val="00B772EE"/>
    <w:rsid w:val="00B8070E"/>
    <w:rsid w:val="00BB60B9"/>
    <w:rsid w:val="00BC1036"/>
    <w:rsid w:val="00BC506C"/>
    <w:rsid w:val="00BF6532"/>
    <w:rsid w:val="00C03815"/>
    <w:rsid w:val="00C04379"/>
    <w:rsid w:val="00C0526E"/>
    <w:rsid w:val="00C13A28"/>
    <w:rsid w:val="00C271ED"/>
    <w:rsid w:val="00C30E0C"/>
    <w:rsid w:val="00C65F8E"/>
    <w:rsid w:val="00CA45C7"/>
    <w:rsid w:val="00CC14FC"/>
    <w:rsid w:val="00CE664A"/>
    <w:rsid w:val="00D162AC"/>
    <w:rsid w:val="00D24C8A"/>
    <w:rsid w:val="00D33C5B"/>
    <w:rsid w:val="00D3692A"/>
    <w:rsid w:val="00D47009"/>
    <w:rsid w:val="00D53C4D"/>
    <w:rsid w:val="00D56A14"/>
    <w:rsid w:val="00D7713E"/>
    <w:rsid w:val="00D95720"/>
    <w:rsid w:val="00DB01FC"/>
    <w:rsid w:val="00DD1826"/>
    <w:rsid w:val="00DE0B2A"/>
    <w:rsid w:val="00DF16B0"/>
    <w:rsid w:val="00E012B9"/>
    <w:rsid w:val="00E07DC9"/>
    <w:rsid w:val="00E574D1"/>
    <w:rsid w:val="00E75E8C"/>
    <w:rsid w:val="00E84B3E"/>
    <w:rsid w:val="00E853F9"/>
    <w:rsid w:val="00EB2EE4"/>
    <w:rsid w:val="00ED2927"/>
    <w:rsid w:val="00ED4F53"/>
    <w:rsid w:val="00EE40BD"/>
    <w:rsid w:val="00EE609B"/>
    <w:rsid w:val="00F1708A"/>
    <w:rsid w:val="00F3470A"/>
    <w:rsid w:val="00F607AD"/>
    <w:rsid w:val="00F73776"/>
    <w:rsid w:val="00FE173C"/>
    <w:rsid w:val="00FE6AE0"/>
    <w:rsid w:val="0E3E2869"/>
    <w:rsid w:val="11B01D98"/>
    <w:rsid w:val="4CCE5FE9"/>
    <w:rsid w:val="5CC91149"/>
    <w:rsid w:val="797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1904"/>
  <w15:docId w15:val="{995E1E12-D473-4CAE-B779-A393419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Fontdeparagrafimplicit"/>
    <w:uiPriority w:val="99"/>
    <w:unhideWhenUsed/>
    <w:qFormat/>
    <w:rPr>
      <w:color w:val="0000FF" w:themeColor="hyperlink"/>
      <w:u w:val="single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uiPriority w:val="99"/>
  </w:style>
  <w:style w:type="character" w:customStyle="1" w:styleId="SubsolCaracter">
    <w:name w:val="Subsol Caracter"/>
    <w:basedOn w:val="Fontdeparagrafimplicit"/>
    <w:link w:val="Subsol"/>
    <w:uiPriority w:val="99"/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styleId="Frspaier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55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ria-iasi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surseachizi&#539;ii_vintudejos@ab.e-adm.ro_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B42E-ED08-43F4-AE8B-5058A034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Primaria Vint</cp:lastModifiedBy>
  <cp:revision>4</cp:revision>
  <cp:lastPrinted>2025-10-29T11:31:00Z</cp:lastPrinted>
  <dcterms:created xsi:type="dcterms:W3CDTF">2025-10-29T07:50:00Z</dcterms:created>
  <dcterms:modified xsi:type="dcterms:W3CDTF">2025-10-29T11:31:00Z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89E81C2A6D0F4CE2B5B6DEE926055878</vt:lpwstr>
  </property>
</Properties>
</file>