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36DD8" w14:textId="2B33E4DA" w:rsidR="00FC1003" w:rsidRDefault="00FC1003" w:rsidP="00FC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B43C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DA177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16</w:t>
      </w:r>
    </w:p>
    <w:p w14:paraId="50B3F095" w14:textId="77777777" w:rsidR="00DA1773" w:rsidRPr="009842E9" w:rsidRDefault="00DA1773" w:rsidP="00DA1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</w:t>
      </w:r>
      <w:r w:rsidRPr="009842E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modificarea Hotărârii de Consiliu local nr. 118/28.12.2021 privind stabilirea impozitelor şi taxelor locale, a taxelor speciale și limitelor amenzilor, </w:t>
      </w:r>
    </w:p>
    <w:p w14:paraId="222160D1" w14:textId="77777777" w:rsidR="00DA1773" w:rsidRPr="009842E9" w:rsidRDefault="00DA1773" w:rsidP="00DA1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842E9">
        <w:rPr>
          <w:rFonts w:ascii="Times New Roman" w:eastAsia="Times New Roman" w:hAnsi="Times New Roman" w:cs="Times New Roman"/>
          <w:sz w:val="24"/>
          <w:szCs w:val="24"/>
          <w:lang w:val="ro-RO"/>
        </w:rPr>
        <w:t>la nivelul unității administrativ-teritoriale Vințu de Jos,</w:t>
      </w:r>
    </w:p>
    <w:p w14:paraId="758BFFD9" w14:textId="77777777" w:rsidR="00DA1773" w:rsidRPr="008D7F90" w:rsidRDefault="00DA1773" w:rsidP="00DA1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842E9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2022</w:t>
      </w:r>
    </w:p>
    <w:p w14:paraId="16E32471" w14:textId="77777777" w:rsidR="00DA1773" w:rsidRPr="008D7F90" w:rsidRDefault="00DA1773" w:rsidP="00DA1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2F9B93A" w14:textId="77777777" w:rsidR="00DA1773" w:rsidRDefault="00DA1773" w:rsidP="00DA1773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>Consiliul</w:t>
      </w:r>
      <w:proofErr w:type="spellEnd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 xml:space="preserve"> Local al </w:t>
      </w:r>
      <w:proofErr w:type="spellStart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>comunei</w:t>
      </w:r>
      <w:proofErr w:type="spellEnd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Alba,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întrunit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şedinţa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ordinară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din data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31.01.2022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43A60F" w14:textId="77777777" w:rsidR="00DA1773" w:rsidRDefault="00DA1773" w:rsidP="00DA1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Luând în considerare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faptul că au intervenit modificări legislative prin Legea nr. 301/16.12.2021 privind aprobarea O.G. nr. 8/2021 pentru modificarea și completarea Legii nr. 227/2015 privind Codul fiscal, publicată în Monitorul Oficial al României nr. 1195/17.12.2021 față de prevederile art. 3, alin. 1, lit. s, art. 13, alin. 1, lit. s și art. 18, alin. 1, lit. c din anexa nr. 1 la Hotărârea de Consiliu local nr. 1</w:t>
      </w:r>
      <w:r w:rsidRPr="009842E9">
        <w:rPr>
          <w:rFonts w:ascii="Times New Roman" w:eastAsia="Times New Roman" w:hAnsi="Times New Roman" w:cs="Times New Roman"/>
          <w:sz w:val="24"/>
          <w:szCs w:val="24"/>
          <w:lang w:val="ro-RO"/>
        </w:rPr>
        <w:t>18/28.12.2021 privind stabilirea impozitelor şi taxelor locale, a taxelor sp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eciale și limitelor amenzilor, </w:t>
      </w:r>
      <w:r w:rsidRPr="009842E9">
        <w:rPr>
          <w:rFonts w:ascii="Times New Roman" w:eastAsia="Times New Roman" w:hAnsi="Times New Roman" w:cs="Times New Roman"/>
          <w:sz w:val="24"/>
          <w:szCs w:val="24"/>
          <w:lang w:val="ro-RO"/>
        </w:rPr>
        <w:t>la nivelul unității administ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rativ-teritoriale Vințu de Jos, </w:t>
      </w:r>
      <w:r w:rsidRPr="009842E9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se impune adoptarea unei Hotărâri de Consiliu local pentru modificarea acestor articole, în conformitate cu prevederile legale;</w:t>
      </w:r>
    </w:p>
    <w:p w14:paraId="7B466BEE" w14:textId="19BB8CFA" w:rsidR="00DA1773" w:rsidRDefault="00DA1773" w:rsidP="00DA17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3A2F83">
        <w:rPr>
          <w:rFonts w:ascii="Times New Roman" w:eastAsia="Times New Roman" w:hAnsi="Times New Roman" w:cs="Times New Roman"/>
          <w:sz w:val="24"/>
          <w:szCs w:val="24"/>
          <w:lang w:val="ro-RO"/>
        </w:rPr>
        <w:t>vând în vedere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1C246B" w14:textId="24558BB3" w:rsidR="003A2F83" w:rsidRPr="008D7F90" w:rsidRDefault="003A2F83" w:rsidP="003A2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Pr="003A2F83">
        <w:t xml:space="preserve"> </w:t>
      </w:r>
      <w:r w:rsidRPr="003A2F83">
        <w:rPr>
          <w:rFonts w:ascii="Times New Roman" w:eastAsia="Times New Roman" w:hAnsi="Times New Roman" w:cs="Times New Roman"/>
          <w:sz w:val="24"/>
          <w:szCs w:val="24"/>
        </w:rPr>
        <w:t>12/21.01.2022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Hotărârii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local nr. 118/28.12.2021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impozitelor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locale, a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limitelor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amenzilor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de Jos,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2F83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3A2F83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</w:p>
    <w:p w14:paraId="57A78B89" w14:textId="77777777" w:rsidR="00DA1773" w:rsidRPr="008D7F90" w:rsidRDefault="00DA1773" w:rsidP="00DA1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de initiator nr. </w:t>
      </w:r>
      <w:r>
        <w:rPr>
          <w:rFonts w:ascii="Times New Roman" w:eastAsia="Times New Roman" w:hAnsi="Times New Roman" w:cs="Times New Roman"/>
          <w:sz w:val="24"/>
          <w:szCs w:val="24"/>
        </w:rPr>
        <w:t>953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A0ED32" w14:textId="42388078" w:rsidR="00DA1773" w:rsidRPr="008D7F90" w:rsidRDefault="00DA1773" w:rsidP="00DA1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raportul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</w:rPr>
        <w:t>954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/A/2/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Biroului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achiziții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strategi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impozite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locale</w:t>
      </w:r>
      <w:r w:rsidR="00E7225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B87C9E" w14:textId="77777777" w:rsidR="00DA1773" w:rsidRPr="008D7F90" w:rsidRDefault="00DA1773" w:rsidP="00DA1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     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Local nr.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118/28.12.2021 </w:t>
      </w:r>
      <w:proofErr w:type="spellStart"/>
      <w:r w:rsidRPr="00D262D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26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62DD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D26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62DD">
        <w:rPr>
          <w:rFonts w:ascii="Times New Roman" w:eastAsia="Times New Roman" w:hAnsi="Times New Roman" w:cs="Times New Roman"/>
          <w:sz w:val="24"/>
          <w:szCs w:val="24"/>
        </w:rPr>
        <w:t>impozitelor</w:t>
      </w:r>
      <w:proofErr w:type="spellEnd"/>
      <w:r w:rsidRPr="00D26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62D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26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62DD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Pr="00D262DD">
        <w:rPr>
          <w:rFonts w:ascii="Times New Roman" w:eastAsia="Times New Roman" w:hAnsi="Times New Roman" w:cs="Times New Roman"/>
          <w:sz w:val="24"/>
          <w:szCs w:val="24"/>
        </w:rPr>
        <w:t xml:space="preserve"> locale, a </w:t>
      </w:r>
      <w:proofErr w:type="spellStart"/>
      <w:r w:rsidRPr="00D262DD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Pr="00D26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62DD"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z w:val="24"/>
          <w:szCs w:val="24"/>
        </w:rPr>
        <w:t>eciale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amenzilor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262DD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D262DD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D26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62DD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Pr="00D26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62DD">
        <w:rPr>
          <w:rFonts w:ascii="Times New Roman" w:eastAsia="Times New Roman" w:hAnsi="Times New Roman" w:cs="Times New Roman"/>
          <w:sz w:val="24"/>
          <w:szCs w:val="24"/>
        </w:rPr>
        <w:t>administrativ-teritoria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Jos, </w:t>
      </w:r>
      <w:proofErr w:type="spellStart"/>
      <w:r w:rsidRPr="00D262D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26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62DD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D262DD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Pr="008703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9190FE" w14:textId="02E521EB" w:rsidR="00DA1773" w:rsidRPr="008D7F90" w:rsidRDefault="00DA1773" w:rsidP="00DA1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      -</w:t>
      </w:r>
      <w:r w:rsid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nr. 1,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sub nr. 1</w:t>
      </w:r>
      <w:r w:rsidR="00DB2E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/27.01.2022,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nr. 2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sub nr. </w:t>
      </w:r>
      <w:proofErr w:type="gram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E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/28.01.2022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5A3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5A3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 xml:space="preserve"> sub nr. </w:t>
      </w:r>
      <w:r w:rsidR="00DB2E8F">
        <w:rPr>
          <w:rFonts w:ascii="Times New Roman" w:eastAsia="Times New Roman" w:hAnsi="Times New Roman" w:cs="Times New Roman"/>
          <w:sz w:val="24"/>
          <w:szCs w:val="24"/>
        </w:rPr>
        <w:t>13</w:t>
      </w:r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/</w:t>
      </w:r>
      <w:r w:rsidR="00DB2E8F">
        <w:rPr>
          <w:rFonts w:ascii="Times New Roman" w:eastAsia="Times New Roman" w:hAnsi="Times New Roman" w:cs="Times New Roman"/>
          <w:sz w:val="24"/>
          <w:szCs w:val="24"/>
        </w:rPr>
        <w:t>28.01.2022</w:t>
      </w:r>
      <w:bookmarkStart w:id="0" w:name="_GoBack"/>
      <w:bookmarkEnd w:id="0"/>
      <w:r w:rsidR="00E72254" w:rsidRPr="00E7225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7420B6" w14:textId="77777777" w:rsidR="00DA1773" w:rsidRPr="008D7F90" w:rsidRDefault="00DA1773" w:rsidP="00DA17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cu:</w:t>
      </w:r>
    </w:p>
    <w:p w14:paraId="5A17C80C" w14:textId="77777777" w:rsidR="00DA1773" w:rsidRPr="008D7F90" w:rsidRDefault="00DA1773" w:rsidP="00DA1773">
      <w:pPr>
        <w:numPr>
          <w:ilvl w:val="0"/>
          <w:numId w:val="1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Art. 56, art. 120,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1, art. 121,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art. 139,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2 din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Constituția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625DB5" w14:textId="77777777" w:rsidR="00DA1773" w:rsidRPr="008D7F90" w:rsidRDefault="00DA1773" w:rsidP="00DA1773">
      <w:pPr>
        <w:numPr>
          <w:ilvl w:val="0"/>
          <w:numId w:val="1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Art. 7,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2 din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nr. 287/2009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civil,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B1D16E" w14:textId="77777777" w:rsidR="00DA1773" w:rsidRPr="00050F16" w:rsidRDefault="00DA1773" w:rsidP="00DA1773">
      <w:pPr>
        <w:numPr>
          <w:ilvl w:val="0"/>
          <w:numId w:val="1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Art. 87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3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4 din OUG nr. 57/2019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BC3949" w14:textId="77777777" w:rsidR="00DA1773" w:rsidRDefault="00DA1773" w:rsidP="00DA1773">
      <w:pPr>
        <w:numPr>
          <w:ilvl w:val="0"/>
          <w:numId w:val="1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pct. 4-6 din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Legea nr. 301/16.12.2021 privind aprobarea O.G. nr. 8/2021 pentru modificarea și completarea Legii nr. 227/2015 privind Codul fiscal, publicată în Monitorul Oficial al României nr. 1195/17.12.2021;</w:t>
      </w:r>
    </w:p>
    <w:p w14:paraId="78EE7491" w14:textId="77777777" w:rsidR="00DA1773" w:rsidRDefault="00DA1773" w:rsidP="00DA1773">
      <w:pPr>
        <w:numPr>
          <w:ilvl w:val="0"/>
          <w:numId w:val="1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Art. 456, alin. 1, lit. s, art. 464, alin. 1, lit. s, art. 469, alin. 1, lit. c din</w:t>
      </w:r>
      <w:r w:rsidRPr="00050F16">
        <w:rPr>
          <w:rFonts w:ascii="Times New Roman" w:eastAsia="Times New Roman" w:hAnsi="Times New Roman" w:cs="Times New Roman"/>
          <w:sz w:val="24"/>
          <w:szCs w:val="24"/>
        </w:rPr>
        <w:t xml:space="preserve">   LEGE  Nr. 227/2015 din 8 </w:t>
      </w:r>
      <w:proofErr w:type="spellStart"/>
      <w:r w:rsidRPr="00050F16">
        <w:rPr>
          <w:rFonts w:ascii="Times New Roman" w:eastAsia="Times New Roman" w:hAnsi="Times New Roman" w:cs="Times New Roman"/>
          <w:sz w:val="24"/>
          <w:szCs w:val="24"/>
        </w:rPr>
        <w:t>septembrie</w:t>
      </w:r>
      <w:proofErr w:type="spellEnd"/>
      <w:r w:rsidRPr="00050F16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0F1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5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0F16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050F16">
        <w:rPr>
          <w:rFonts w:ascii="Times New Roman" w:eastAsia="Times New Roman" w:hAnsi="Times New Roman" w:cs="Times New Roman"/>
          <w:sz w:val="24"/>
          <w:szCs w:val="24"/>
        </w:rPr>
        <w:t xml:space="preserve"> fiscal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DEDB53" w14:textId="1968AD85" w:rsidR="00DA1773" w:rsidRPr="005A35D8" w:rsidRDefault="00DA1773" w:rsidP="005A35D8">
      <w:pPr>
        <w:numPr>
          <w:ilvl w:val="0"/>
          <w:numId w:val="1"/>
        </w:numPr>
        <w:tabs>
          <w:tab w:val="clear" w:pos="644"/>
          <w:tab w:val="num" w:pos="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59</w:t>
      </w:r>
      <w:r w:rsidRPr="00050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24/2000 </w:t>
      </w:r>
      <w:r w:rsidRPr="00050F16">
        <w:rPr>
          <w:rFonts w:ascii="Times New Roman" w:eastAsia="Times New Roman" w:hAnsi="Times New Roman" w:cs="Times New Roman"/>
          <w:sz w:val="24"/>
          <w:szCs w:val="24"/>
        </w:rPr>
        <w:t xml:space="preserve">*** </w:t>
      </w:r>
      <w:proofErr w:type="spellStart"/>
      <w:r w:rsidRPr="00050F16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03A5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F03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A5B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F03A5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03A5B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F03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A5B">
        <w:rPr>
          <w:rFonts w:ascii="Times New Roman" w:eastAsia="Times New Roman" w:hAnsi="Times New Roman" w:cs="Times New Roman"/>
          <w:sz w:val="24"/>
          <w:szCs w:val="24"/>
        </w:rPr>
        <w:t>legislativă</w:t>
      </w:r>
      <w:proofErr w:type="spellEnd"/>
      <w:r w:rsidRPr="00F03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A5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03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A5B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F03A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3A5B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Pr="00F03A5B">
        <w:rPr>
          <w:rFonts w:ascii="Times New Roman" w:eastAsia="Times New Roman" w:hAnsi="Times New Roman" w:cs="Times New Roman"/>
          <w:sz w:val="24"/>
          <w:szCs w:val="24"/>
        </w:rPr>
        <w:t xml:space="preserve"> normative</w:t>
      </w:r>
      <w:r w:rsidR="005A35D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90D519" w14:textId="4A75882C" w:rsidR="00DA1773" w:rsidRPr="008D7F90" w:rsidRDefault="00DA1773" w:rsidP="00DA17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În temeiul art. 129 alin. (2) lit. </w:t>
      </w:r>
      <w:r w:rsidR="00BF1479">
        <w:rPr>
          <w:rFonts w:ascii="Times New Roman" w:eastAsia="Times New Roman" w:hAnsi="Times New Roman" w:cs="Times New Roman"/>
          <w:sz w:val="24"/>
          <w:szCs w:val="24"/>
          <w:lang w:val="ro-RO"/>
        </w:rPr>
        <w:t>b,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coroborat cu alin. (4) lit. c), art.139</w:t>
      </w:r>
      <w:r w:rsidR="00BF147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alin.</w:t>
      </w:r>
      <w:r w:rsidR="00BF14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(3)</w:t>
      </w:r>
      <w:r w:rsidR="00BF147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lit. c și art. 196 alin. (1) lit. a  din 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OUG nr.</w:t>
      </w:r>
      <w:r w:rsidR="00BF1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57/2019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4BE0AC" w14:textId="77777777" w:rsidR="00DA1773" w:rsidRPr="008D7F90" w:rsidRDefault="00DA1773" w:rsidP="00DA1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F6EFFE" w14:textId="77777777" w:rsidR="00DA1773" w:rsidRPr="008D7F90" w:rsidRDefault="00DA1773" w:rsidP="00DA1773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</w:t>
      </w:r>
    </w:p>
    <w:p w14:paraId="33619E05" w14:textId="77777777" w:rsidR="00DA1773" w:rsidRPr="008D7F90" w:rsidRDefault="00DA1773" w:rsidP="00DA1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2F7E8E1" w14:textId="77777777" w:rsidR="00DA1773" w:rsidRDefault="00DA1773" w:rsidP="00DA1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Art. 1.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modifică art. </w:t>
      </w:r>
      <w:r w:rsidRPr="00F03A5B">
        <w:rPr>
          <w:rFonts w:ascii="Times New Roman" w:eastAsia="Times New Roman" w:hAnsi="Times New Roman" w:cs="Times New Roman"/>
          <w:sz w:val="24"/>
          <w:szCs w:val="24"/>
          <w:lang w:val="ro-RO"/>
        </w:rPr>
        <w:t>3, alin. 1, lit. s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din </w:t>
      </w:r>
      <w:r w:rsidRPr="00F03A5B">
        <w:rPr>
          <w:rFonts w:ascii="Times New Roman" w:eastAsia="Times New Roman" w:hAnsi="Times New Roman" w:cs="Times New Roman"/>
          <w:sz w:val="24"/>
          <w:szCs w:val="24"/>
          <w:lang w:val="ro-RO"/>
        </w:rPr>
        <w:t>anexa nr. 1 la Hotărârea de Consiliu local nr. 118/28.12.2021 privind stabilirea impozitelor şi taxelor locale, a taxelor speciale și limitelor amenzilor, la nivelul unității administrativ-teritoriale Vințu de Jos, pentru anul 2022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va avea următorul conținut:</w:t>
      </w:r>
    </w:p>
    <w:p w14:paraId="3BADC905" w14:textId="77777777" w:rsidR="00DA1773" w:rsidRDefault="00DA1773" w:rsidP="00DA1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,,s)</w:t>
      </w:r>
      <w:r w:rsidRPr="00F03A5B">
        <w:t xml:space="preserve"> </w:t>
      </w:r>
      <w:r w:rsidRPr="00F03A5B">
        <w:rPr>
          <w:rFonts w:ascii="Times New Roman" w:eastAsia="Times New Roman" w:hAnsi="Times New Roman" w:cs="Times New Roman"/>
          <w:sz w:val="24"/>
          <w:szCs w:val="24"/>
          <w:lang w:val="ro-RO"/>
        </w:rPr>
        <w:t>clădirea folosită ca domiciliu aflată în proprietatea sau coproprietatea persoanelor prevăzute la art. 1 şi art. 5 alin. (1) - (8) din Decretul-lege nr. 118/1990 privind acordarea unor drepturi persoanelor persecutate din motive politice de dictatura instaurată cu începere de la 6 martie 1945, precum şi celor deportate în străinătate ori constituite în prizonieri, republicat, şi a persoanelor fizice prevăzute la art. 1 din Ordonanţa Guvernului nr. 105/1999, republicată, cu modificările şi completările ulterioare; scutirea rămâne valabilă şi în cazul transferului proprietăţii prin moştenire către copiii acestora, indiferent unde aceştia domiciliază;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14:paraId="15059105" w14:textId="77777777" w:rsidR="00DA1773" w:rsidRDefault="00DA1773" w:rsidP="00DA1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2.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03A5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modifică art.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Pr="00F03A5B">
        <w:rPr>
          <w:rFonts w:ascii="Times New Roman" w:eastAsia="Times New Roman" w:hAnsi="Times New Roman" w:cs="Times New Roman"/>
          <w:sz w:val="24"/>
          <w:szCs w:val="24"/>
          <w:lang w:val="ro-RO"/>
        </w:rPr>
        <w:t>3, alin. 1, lit. s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Pr="00F03A5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anexa nr. 1 la Hotărârea de Consiliu local nr. 118/28.12.2021 privind stabilirea impozitelor şi taxelor locale, a taxelor speciale și limitelor amenzilor, la nivelul unității administrativ-teritoriale Vințu de Jos, pentru anul 2022 și va avea următorul conținut:</w:t>
      </w:r>
    </w:p>
    <w:p w14:paraId="11993C3E" w14:textId="77777777" w:rsidR="00DA1773" w:rsidRPr="008D7F90" w:rsidRDefault="00DA1773" w:rsidP="00DA1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,,s) </w:t>
      </w:r>
      <w:r w:rsidRPr="00F03A5B">
        <w:rPr>
          <w:rFonts w:ascii="Times New Roman" w:eastAsia="Times New Roman" w:hAnsi="Times New Roman" w:cs="Times New Roman"/>
          <w:sz w:val="24"/>
          <w:szCs w:val="24"/>
          <w:lang w:val="ro-RO"/>
        </w:rPr>
        <w:t>terenul aferent clădirii de domiciliu aflat în proprietatea sau coproprietatea persoanelor prevăzute la art. 1 şi art. 5 alin. (1) - (8) din Decretul-lege nr. 118/1990, republicat, şi a persoanelor fizice prevăzute la art. 1 din Ordonanţa Guvernului nr. 105/1999, republicată, cu modificările şi completările ulterioare; scutirea rămâne valabilă şi în cazul transferului proprietăţii prin moştenire către copiii acestora, indiferent unde aceştia domiciliază;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14:paraId="3EA8DEAE" w14:textId="77777777" w:rsidR="00DA1773" w:rsidRDefault="00DA1773" w:rsidP="00DA1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Art. 3</w:t>
      </w:r>
      <w:r w:rsidRPr="0015385C">
        <w:t xml:space="preserve"> </w:t>
      </w:r>
      <w:r w:rsidRPr="0015385C">
        <w:rPr>
          <w:rFonts w:ascii="Times New Roman" w:eastAsia="Times New Roman" w:hAnsi="Times New Roman" w:cs="Times New Roman"/>
          <w:sz w:val="24"/>
          <w:szCs w:val="24"/>
          <w:lang w:val="ro-RO"/>
        </w:rPr>
        <w:t>Se modifică art. 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8</w:t>
      </w:r>
      <w:r w:rsidRPr="001538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alin. 1, lit.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c)</w:t>
      </w:r>
      <w:r w:rsidRPr="001538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anexa nr. 1 la Hotărârea de Consiliu local nr. 118/28.12.2021 privind stabilirea impozitelor şi taxelor locale, a taxelor speciale și limitelor amenzilor, la nivelul unității administrativ-teritoriale Vințu de Jos, pentru anul 2022 și va avea următorul conținut:</w:t>
      </w:r>
    </w:p>
    <w:p w14:paraId="6F738FFA" w14:textId="77777777" w:rsidR="00DA1773" w:rsidRPr="0015385C" w:rsidRDefault="00DA1773" w:rsidP="00DA1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,,c) </w:t>
      </w:r>
      <w:r w:rsidRPr="0015385C">
        <w:rPr>
          <w:rFonts w:ascii="Times New Roman" w:eastAsia="Times New Roman" w:hAnsi="Times New Roman" w:cs="Times New Roman"/>
          <w:sz w:val="24"/>
          <w:szCs w:val="24"/>
          <w:lang w:val="ro-RO"/>
        </w:rPr>
        <w:t>mijloacele de transport aflate în proprietatea sau coproprietatea persoanelor prevăzute la art. 1 şi art. 5 alin. (1) - (8) din Decretul-lege nr. 118/1990, republicat, şi a persoanelor fizice prevăzute la art. 1 din Ordonanţa Guvernului nr. 105/1999, republicată, cu modificările şi completările ulterioare, pentru un singur mijloc de transport, la alegerea contribuabilului; scutirea rămâne valabilă şi în cazul transferului mijlocului de transport prin moştenire către copiii acestora;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14:paraId="3F6750B2" w14:textId="77777777" w:rsidR="00DA1773" w:rsidRPr="008D7F90" w:rsidRDefault="00DA1773" w:rsidP="00DA1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4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15385C">
        <w:rPr>
          <w:rFonts w:ascii="Times New Roman" w:eastAsia="Times New Roman" w:hAnsi="Times New Roman" w:cs="Times New Roman"/>
          <w:sz w:val="24"/>
          <w:szCs w:val="24"/>
          <w:lang w:val="ro-RO"/>
        </w:rPr>
        <w:t>nexa nr. 1 la Hotărârea de Consiliu local nr. 118/28.12.2021 privind stabilirea impozitelor şi taxelor locale, a taxelor speciale și limitelor amenzilor, la nivelul unității administrativ-teritoriale Vințu de Jos, pentru anul 2022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modificată conform art. 1-3, face parte integrantă din prezenta hotărâre.</w:t>
      </w:r>
    </w:p>
    <w:p w14:paraId="798FA5A3" w14:textId="77777777" w:rsidR="00DA1773" w:rsidRPr="008D7F90" w:rsidRDefault="00DA1773" w:rsidP="00DA1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Aducerea la îndeplinire a prezentei hotărâri se asigură de către primarul comunei Vințu de Jos, prin aparatul său de specialitate. </w:t>
      </w:r>
    </w:p>
    <w:p w14:paraId="16D24A6A" w14:textId="77777777" w:rsidR="00DA1773" w:rsidRPr="008D7F90" w:rsidRDefault="00DA1773" w:rsidP="00DA1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 xml:space="preserve">            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comunică, prin intermediul secretarului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general al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comunei Vințu de Jos, în termenul prevăzut de lege, primarului comunei Vințu de Jos și prefectului județului Alba și se aduce la cunoștință publică prin afișarea la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sediul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Primărie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 comunei Vințu de Jos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, în spațiul accesibil publicului, precum și pe pagina de internet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instituției, Monitorul Oficial Local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C7D8313" w14:textId="77777777" w:rsidR="00DA1773" w:rsidRPr="008D7F90" w:rsidRDefault="00DA1773" w:rsidP="00DA1773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7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Prezenta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hotărâre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poate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fi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contestată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în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fața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instanței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de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contencios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administrativ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Tribunalului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Alba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în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conformitate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cu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prevederile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Legii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contenciosului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administrativ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nr. 554/2004, cu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modificările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și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completările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ulterioare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plângerea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prealabilă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adresată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emitentului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actului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putând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fi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formulată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oricând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00DF3A78" w14:textId="4D4FA244" w:rsidR="00DA1773" w:rsidRDefault="00DA1773" w:rsidP="00FC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A9D74D8" w14:textId="77777777" w:rsidR="007E32B4" w:rsidRDefault="007E32B4" w:rsidP="007E3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71F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31.01.2022</w:t>
      </w:r>
    </w:p>
    <w:p w14:paraId="45985650" w14:textId="77777777" w:rsidR="007E32B4" w:rsidRPr="00B023A3" w:rsidRDefault="007E32B4" w:rsidP="007E3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341EB9" w14:textId="77777777" w:rsidR="007E32B4" w:rsidRPr="002557C8" w:rsidRDefault="007E32B4" w:rsidP="007E32B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                                                                             </w:t>
      </w: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>Contrasemnează pentru legalitate,</w:t>
      </w:r>
    </w:p>
    <w:p w14:paraId="6A8B42A5" w14:textId="77777777" w:rsidR="007E32B4" w:rsidRPr="003B4352" w:rsidRDefault="007E32B4" w:rsidP="007E32B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PREŞEDINTE DE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ȘEDINŢĂ </w:t>
      </w:r>
      <w:r w:rsidRPr="003B4352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                                       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SECRETAR GENERAL UAT, </w:t>
      </w:r>
    </w:p>
    <w:p w14:paraId="7B88B0EC" w14:textId="77777777" w:rsidR="007E32B4" w:rsidRPr="005B43C9" w:rsidRDefault="007E32B4" w:rsidP="007E3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CONSILIER LOCAL                                    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</w:t>
      </w:r>
      <w:r w:rsidRPr="002557C8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Claudia Lavinia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Muntean</w:t>
      </w:r>
    </w:p>
    <w:p w14:paraId="45F8350F" w14:textId="77777777" w:rsidR="007E32B4" w:rsidRDefault="007E32B4" w:rsidP="007E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Florin Jicărean</w:t>
      </w:r>
    </w:p>
    <w:p w14:paraId="5E186CDE" w14:textId="77777777" w:rsidR="007E32B4" w:rsidRDefault="007E32B4" w:rsidP="007E3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310DEDA" w14:textId="394203FF" w:rsidR="003A2F83" w:rsidRDefault="003A2F83" w:rsidP="00FC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4A02D53" w14:textId="7FF791E7" w:rsidR="003A2F83" w:rsidRDefault="003A2F83" w:rsidP="00FC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7A5596E" w14:textId="7D64BD61" w:rsidR="003A2F83" w:rsidRDefault="003A2F83" w:rsidP="00FC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CC22C13" w14:textId="602195DD" w:rsidR="003A2F83" w:rsidRDefault="003A2F83" w:rsidP="00FC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4331B76" w14:textId="77777777" w:rsidR="00925BEC" w:rsidRPr="005B43C9" w:rsidRDefault="00925BEC" w:rsidP="00925BEC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7B17A2D" w14:textId="77777777" w:rsidR="00FC1003" w:rsidRPr="005B43C9" w:rsidRDefault="00FC1003" w:rsidP="00FC1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EA8D0F0" w14:textId="77777777" w:rsidR="00FC1003" w:rsidRPr="005B43C9" w:rsidRDefault="00FC1003" w:rsidP="00FC1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D6450B0" w14:textId="77777777" w:rsidR="00FF1DEC" w:rsidRPr="005B43C9" w:rsidRDefault="00FF1DEC" w:rsidP="00FF1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C787769" w14:textId="481C8155" w:rsidR="0024524A" w:rsidRDefault="0024524A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89A6EA0" w14:textId="2792B450" w:rsidR="007E32B4" w:rsidRDefault="007E32B4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21C1FC7" w14:textId="4BFBF068" w:rsidR="007E32B4" w:rsidRDefault="007E32B4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B429AD4" w14:textId="653A70B5" w:rsidR="007E32B4" w:rsidRDefault="007E32B4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E02CAB7" w14:textId="1C2784BB" w:rsidR="007E32B4" w:rsidRDefault="007E32B4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31BC0E4" w14:textId="4AC3C531" w:rsidR="007E32B4" w:rsidRDefault="007E32B4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370C4E3" w14:textId="283E1B5F" w:rsidR="007E32B4" w:rsidRDefault="007E32B4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ACDC5B" w14:textId="0F8E8EE4" w:rsidR="007E32B4" w:rsidRDefault="007E32B4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B0C6FCE" w14:textId="572A2DC4" w:rsidR="007E32B4" w:rsidRDefault="007E32B4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82AA2D4" w14:textId="66B564B2" w:rsidR="007E32B4" w:rsidRDefault="007E32B4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7E4FE05" w14:textId="06F1DB3D" w:rsidR="007E32B4" w:rsidRDefault="007E32B4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7746956" w14:textId="17F9C83C" w:rsidR="007E32B4" w:rsidRDefault="007E32B4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4835DEB" w14:textId="1EB6DC16" w:rsidR="007E32B4" w:rsidRDefault="007E32B4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825F80E" w14:textId="13AA168B" w:rsidR="007E32B4" w:rsidRDefault="007E32B4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F2F83B8" w14:textId="77777777" w:rsidR="007E32B4" w:rsidRPr="005B43C9" w:rsidRDefault="007E32B4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489BA36" w14:textId="77777777" w:rsidR="00925BEC" w:rsidRPr="005B43C9" w:rsidRDefault="00925BEC" w:rsidP="000C5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2B94C89" w14:textId="77777777" w:rsidR="00FF1DEC" w:rsidRDefault="00FF1DEC" w:rsidP="003D12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</w:t>
      </w:r>
      <w:r w:rsid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fost adoptată cu un număr de 15</w:t>
      </w: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 w:rsidR="00395441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39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hotărâri, respectiv majoritate absolută.</w:t>
      </w:r>
    </w:p>
    <w:p w14:paraId="09B9EFFA" w14:textId="77777777" w:rsidR="003D1297" w:rsidRPr="00EB4B35" w:rsidRDefault="003D1297" w:rsidP="003D12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  <w:proofErr w:type="spellStart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</w:t>
      </w:r>
      <w:proofErr w:type="spellEnd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cu </w:t>
      </w:r>
      <w:proofErr w:type="spellStart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proceduri</w:t>
      </w:r>
      <w:proofErr w:type="spellEnd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obligatorii</w:t>
      </w:r>
      <w:proofErr w:type="spellEnd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ulterioare</w:t>
      </w:r>
      <w:proofErr w:type="spellEnd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adoptării</w:t>
      </w:r>
      <w:proofErr w:type="spellEnd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hotărârii</w:t>
      </w:r>
      <w:proofErr w:type="spellEnd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consiliului</w:t>
      </w:r>
      <w:proofErr w:type="spellEnd"/>
      <w:r w:rsidRPr="00EB4B3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local</w:t>
      </w:r>
    </w:p>
    <w:p w14:paraId="3D37F2E2" w14:textId="77777777" w:rsidR="003D1297" w:rsidRPr="00EB4B35" w:rsidRDefault="003D1297" w:rsidP="003D12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GrilTabel"/>
        <w:tblW w:w="0" w:type="auto"/>
        <w:tblLook w:val="0000" w:firstRow="0" w:lastRow="0" w:firstColumn="0" w:lastColumn="0" w:noHBand="0" w:noVBand="0"/>
      </w:tblPr>
      <w:tblGrid>
        <w:gridCol w:w="800"/>
        <w:gridCol w:w="3777"/>
        <w:gridCol w:w="2171"/>
        <w:gridCol w:w="2494"/>
      </w:tblGrid>
      <w:tr w:rsidR="003D1297" w:rsidRPr="00EB4B35" w14:paraId="54440ABE" w14:textId="77777777" w:rsidTr="008563A6">
        <w:trPr>
          <w:trHeight w:val="600"/>
        </w:trPr>
        <w:tc>
          <w:tcPr>
            <w:tcW w:w="10476" w:type="dxa"/>
            <w:gridSpan w:val="4"/>
          </w:tcPr>
          <w:p w14:paraId="266D9042" w14:textId="76463BAE" w:rsidR="003D1297" w:rsidRPr="008519DE" w:rsidRDefault="003D1297" w:rsidP="00D957FB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PROCEDURI OBLIGATORII ULTERIOARE ADOPTĂRII HO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TĂRÂRII CONSILIULUI LOCAL NR. </w:t>
            </w:r>
            <w:r w:rsid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16</w:t>
            </w:r>
            <w:r w:rsidRPr="00EB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r w:rsid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31</w:t>
            </w:r>
            <w:r w:rsidRPr="00EB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 w:rsid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01</w:t>
            </w:r>
            <w:r w:rsidRPr="00EB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 w:rsid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privind</w:t>
            </w:r>
            <w:proofErr w:type="spellEnd"/>
            <w:r w:rsidRPr="00EB4B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modificarea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Hotărârii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de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Consiliu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local nr. 118/28.12.2021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privind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stabilirea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impozitelor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şi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taxelor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locale, a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taxelor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speciale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și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limitelor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amenzilor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, la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nivelul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unității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administrativ-teritoriale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Vințu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de Jos,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pentru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anul</w:t>
            </w:r>
            <w:proofErr w:type="spellEnd"/>
            <w:r w:rsidR="008D1D6B" w:rsidRPr="008D1D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2022;  </w:t>
            </w:r>
          </w:p>
        </w:tc>
      </w:tr>
      <w:tr w:rsidR="003D1297" w:rsidRPr="00EB4B35" w14:paraId="233AD55E" w14:textId="77777777" w:rsidTr="008563A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15D01E6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NNr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crt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410" w:type="dxa"/>
          </w:tcPr>
          <w:p w14:paraId="781EBD74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efectuate</w:t>
            </w:r>
            <w:proofErr w:type="spellEnd"/>
          </w:p>
        </w:tc>
        <w:tc>
          <w:tcPr>
            <w:tcW w:w="2430" w:type="dxa"/>
          </w:tcPr>
          <w:p w14:paraId="4E56F05E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14:paraId="78502F45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808" w:type="dxa"/>
          </w:tcPr>
          <w:p w14:paraId="37326433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persoanei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responsabile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să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efectueze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procedura</w:t>
            </w:r>
            <w:proofErr w:type="spellEnd"/>
          </w:p>
        </w:tc>
      </w:tr>
      <w:tr w:rsidR="003D1297" w:rsidRPr="00EB4B35" w14:paraId="572C3249" w14:textId="77777777" w:rsidTr="008563A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3182CA6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410" w:type="dxa"/>
          </w:tcPr>
          <w:p w14:paraId="7175AA4D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30" w:type="dxa"/>
          </w:tcPr>
          <w:p w14:paraId="4A134F8C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08" w:type="dxa"/>
          </w:tcPr>
          <w:p w14:paraId="61DF8633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3D1297" w:rsidRPr="00EB4B35" w14:paraId="131E2F01" w14:textId="77777777" w:rsidTr="008563A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591F99A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10" w:type="dxa"/>
          </w:tcPr>
          <w:p w14:paraId="5C21760A" w14:textId="3DE110A5" w:rsidR="003D1297" w:rsidRPr="00EB4B35" w:rsidRDefault="008D1D6B" w:rsidP="00856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</w:t>
            </w:r>
            <w:proofErr w:type="spellStart"/>
            <w:r w:rsidR="003D1297"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Adoptarea</w:t>
            </w:r>
            <w:proofErr w:type="spellEnd"/>
            <w:r w:rsidR="003D1297"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3D1297"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hotărârii</w:t>
            </w:r>
            <w:proofErr w:type="spellEnd"/>
            <w:r w:rsidR="003D1297"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nr.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16</w:t>
            </w:r>
            <w:r w:rsidR="003D1297"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31</w:t>
            </w:r>
            <w:r w:rsidR="003D1297"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01</w:t>
            </w:r>
            <w:r w:rsidR="003D1297"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 w:rsidR="003D1297"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0ABA4975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făcut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majoritate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27A0CF98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B600DFC" wp14:editId="1F0537E4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BE5D7C" id="Dreptunghi 1" o:spid="_x0000_s1026" style="position:absolute;margin-left:91.35pt;margin-top:11.35pt;width:12.7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M6gtFfdAAAACQEAAA8AAABkcnMvZG93&#10;bnJldi54bWxMj8FqwzAMhu+DvYPRYJeyOjV0DVmcMgpll12a9dCjk6hxWCwH222zt5962k7iRx+/&#10;PpXb2Y3iiiEOnjSslhkIpNZ3A/Uajl/7lxxETIY6M3pCDT8YYVs9PpSm6PyNDnitUy+4hGJhNNiU&#10;pkLK2Fp0Ji79hMS7sw/OJI6hl10wNy53o1RZ9iqdGYgvWDPhzmL7XV+cBmpC/bGr7X6xOH+qcFof&#10;TvPRav38NL+/gUg4pz8Y7vqsDhU7Nf5CXRQj51xtGNWg7pMBleUKRKNhvVIgq1L+/6D6BQ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M6gtFfdAAAACQEAAA8AAAAAAAAAAAAAAAAAwQQA&#10;AGRycy9kb3ducmV2LnhtbFBLBQYAAAAABAAEAPMAAADLBQAAAAA=&#10;" fillcolor="window" strokecolor="#385d8a" strokeweight="2pt"/>
                  </w:pict>
                </mc:Fallback>
              </mc:AlternateContent>
            </w:r>
          </w:p>
          <w:p w14:paraId="5F48B5A3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63DFA46" wp14:editId="32B71E1B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235585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ADE91D" id="Dreptunghi 2" o:spid="_x0000_s1026" style="position:absolute;margin-left:57.6pt;margin-top:18.55pt;width:12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AgXhlnfAAAACQEAAA8AAABkcnMvZG93&#10;bnJldi54bWxMjzFPwzAQhXck/oN1lVgq6iSQFIU4FapUsbA0dOjoxNc4anyObLcN/x53gvHpPr33&#10;XbWZzciu6PxgSUC6SoAhdVYN1As4fO+e34D5IEnJ0RIK+EEPm/rxoZKlsjfa47UJPYsl5EspQIcw&#10;lZz7TqORfmUnpHg7WWdkiNH1XDl5i+Vm5FmSFNzIgeKClhNuNXbn5mIEUOuaz22jd8vl6Stzx3x/&#10;nA9aiKfF/PEOLOAc/mC460d1qKNTay+kPBtjTvMsogJe1imwO/CarIG1Aoq8AF5X/P8H9S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CBeGWd8AAAAJAQAADwAAAAAAAAAAAAAAAADB&#10;BAAAZHJzL2Rvd25yZXYueG1sUEsFBgAAAAAEAAQA8wAAAM0FAAAAAA==&#10;" fillcolor="window" strokecolor="#385d8a" strokeweight="2pt"/>
                  </w:pict>
                </mc:Fallback>
              </mc:AlternateContent>
            </w: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simplă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                                  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absolută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</w:t>
            </w:r>
          </w:p>
          <w:p w14:paraId="036D09A2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</w:t>
            </w:r>
          </w:p>
          <w:p w14:paraId="0917300C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0AC102" wp14:editId="559B4357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E8E5BA" id="Dreptunghi 4" o:spid="_x0000_s1026" style="position:absolute;margin-left:136.35pt;margin-top:2.8pt;width:12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" fillcolor="window" strokecolor="#385d8a" strokeweight="2pt"/>
                  </w:pict>
                </mc:Fallback>
              </mc:AlternateContent>
            </w: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calificată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</w:t>
            </w:r>
          </w:p>
          <w:p w14:paraId="599AE592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430" w:type="dxa"/>
          </w:tcPr>
          <w:p w14:paraId="2665E822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2E872EE1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D1297" w:rsidRPr="00EB4B35" w14:paraId="156D29C6" w14:textId="77777777" w:rsidTr="008563A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07FDF4DC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10" w:type="dxa"/>
          </w:tcPr>
          <w:p w14:paraId="34A757F1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primar</w:t>
            </w:r>
            <w:proofErr w:type="spellEnd"/>
          </w:p>
          <w:p w14:paraId="12E57EFD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09455980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44872FB5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113E130A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D1297" w:rsidRPr="00EB4B35" w14:paraId="18BE22A2" w14:textId="77777777" w:rsidTr="008563A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17E83AD1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10" w:type="dxa"/>
          </w:tcPr>
          <w:p w14:paraId="43252C02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prefectul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județului</w:t>
            </w:r>
            <w:proofErr w:type="spellEnd"/>
          </w:p>
          <w:p w14:paraId="04161887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5EB7B7AD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490E505F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452E3543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D1297" w:rsidRPr="00EB4B35" w14:paraId="0BED74CC" w14:textId="77777777" w:rsidTr="008563A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51436BC7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410" w:type="dxa"/>
          </w:tcPr>
          <w:p w14:paraId="228AA3B6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la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cunoștința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publică</w:t>
            </w:r>
            <w:proofErr w:type="spellEnd"/>
          </w:p>
          <w:p w14:paraId="3BB73E9B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14:paraId="7FE990B4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3E6145C6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34BE847D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D1297" w:rsidRPr="00EB4B35" w14:paraId="62A88554" w14:textId="77777777" w:rsidTr="008563A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2FA6713B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410" w:type="dxa"/>
          </w:tcPr>
          <w:p w14:paraId="1F52A3FA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numai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în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cazul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celei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 </w:t>
            </w:r>
          </w:p>
          <w:p w14:paraId="4069627F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14:paraId="25F47037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2D81ABCC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3D1297" w:rsidRPr="00EB4B35" w14:paraId="443045C5" w14:textId="77777777" w:rsidTr="008563A6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14:paraId="760FC7A5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410" w:type="dxa"/>
          </w:tcPr>
          <w:p w14:paraId="566B06DE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devine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obligatorie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normativ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)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sau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produce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juridice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individual),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după</w:t>
            </w:r>
            <w:proofErr w:type="spellEnd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B4B3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</w:t>
            </w:r>
            <w:proofErr w:type="spellEnd"/>
          </w:p>
        </w:tc>
        <w:tc>
          <w:tcPr>
            <w:tcW w:w="2430" w:type="dxa"/>
          </w:tcPr>
          <w:p w14:paraId="62F34B49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14:paraId="2A9C2B27" w14:textId="77777777" w:rsidR="003D1297" w:rsidRPr="00EB4B35" w:rsidRDefault="003D1297" w:rsidP="008563A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0AF15ECD" w14:textId="77777777" w:rsidR="003D1297" w:rsidRPr="00EB4B35" w:rsidRDefault="003D1297" w:rsidP="003D1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8CE95D8" w14:textId="77777777" w:rsidR="003D1297" w:rsidRPr="00EB4B35" w:rsidRDefault="003D1297" w:rsidP="003D1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8576239" w14:textId="77777777" w:rsidR="003D1297" w:rsidRPr="00395441" w:rsidRDefault="003D1297" w:rsidP="003D12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sectPr w:rsidR="003D1297" w:rsidRPr="0039544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A17DF" w14:textId="77777777" w:rsidR="005D696E" w:rsidRDefault="005D696E" w:rsidP="00FC1003">
      <w:pPr>
        <w:spacing w:after="0" w:line="240" w:lineRule="auto"/>
      </w:pPr>
      <w:r>
        <w:separator/>
      </w:r>
    </w:p>
  </w:endnote>
  <w:endnote w:type="continuationSeparator" w:id="0">
    <w:p w14:paraId="238D7E01" w14:textId="77777777" w:rsidR="005D696E" w:rsidRDefault="005D696E" w:rsidP="00FC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7A0EB" w14:textId="77777777" w:rsidR="00FF1DEC" w:rsidRPr="00003ABC" w:rsidRDefault="00FF1DEC" w:rsidP="00FF1DEC">
    <w:pPr>
      <w:pStyle w:val="Subsol"/>
      <w:jc w:val="center"/>
      <w:rPr>
        <w:b/>
        <w:bCs/>
        <w:sz w:val="20"/>
        <w:szCs w:val="20"/>
      </w:rPr>
    </w:pPr>
    <w:proofErr w:type="spellStart"/>
    <w:r w:rsidRPr="009E7013">
      <w:rPr>
        <w:sz w:val="20"/>
        <w:szCs w:val="20"/>
      </w:rPr>
      <w:t>Pagină</w:t>
    </w:r>
    <w:proofErr w:type="spellEnd"/>
    <w:r w:rsidRPr="009E7013">
      <w:rPr>
        <w:sz w:val="20"/>
        <w:szCs w:val="20"/>
      </w:rPr>
      <w:t xml:space="preserve">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4D0F02">
      <w:rPr>
        <w:b/>
        <w:bCs/>
        <w:noProof/>
        <w:sz w:val="20"/>
        <w:szCs w:val="20"/>
      </w:rPr>
      <w:t>4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4D0F02">
      <w:rPr>
        <w:b/>
        <w:bCs/>
        <w:noProof/>
        <w:sz w:val="20"/>
        <w:szCs w:val="20"/>
      </w:rPr>
      <w:t>4</w:t>
    </w:r>
    <w:r w:rsidRPr="009E7013">
      <w:rPr>
        <w:b/>
        <w:bCs/>
        <w:sz w:val="20"/>
        <w:szCs w:val="20"/>
      </w:rPr>
      <w:fldChar w:fldCharType="end"/>
    </w:r>
  </w:p>
  <w:p w14:paraId="709530FC" w14:textId="77777777" w:rsidR="00FF1DEC" w:rsidRPr="00003ABC" w:rsidRDefault="00FF1DEC" w:rsidP="00FF1DEC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6 ex., A/2</w:t>
    </w:r>
  </w:p>
  <w:p w14:paraId="268516AE" w14:textId="77777777" w:rsidR="00FF1DEC" w:rsidRDefault="00FF1DEC" w:rsidP="00FF1DEC">
    <w:pPr>
      <w:pStyle w:val="Subsol"/>
    </w:pPr>
  </w:p>
  <w:p w14:paraId="5AC3D0AD" w14:textId="77777777" w:rsidR="00FF1DEC" w:rsidRPr="00FF1DEC" w:rsidRDefault="00FF1DEC" w:rsidP="00FF1DE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E1DCF" w14:textId="77777777" w:rsidR="005D696E" w:rsidRDefault="005D696E" w:rsidP="00FC1003">
      <w:pPr>
        <w:spacing w:after="0" w:line="240" w:lineRule="auto"/>
      </w:pPr>
      <w:r>
        <w:separator/>
      </w:r>
    </w:p>
  </w:footnote>
  <w:footnote w:type="continuationSeparator" w:id="0">
    <w:p w14:paraId="4A32AC80" w14:textId="77777777" w:rsidR="005D696E" w:rsidRDefault="005D696E" w:rsidP="00FC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4050E" w14:textId="77777777" w:rsidR="00FC1003" w:rsidRPr="002257FB" w:rsidRDefault="00FC1003" w:rsidP="00FC1003">
    <w:pPr>
      <w:pStyle w:val="Antet"/>
      <w:rPr>
        <w:rFonts w:ascii="Times New Roman" w:hAnsi="Times New Roman" w:cs="Times New Roman"/>
        <w:sz w:val="24"/>
        <w:szCs w:val="24"/>
      </w:rPr>
    </w:pPr>
  </w:p>
  <w:p w14:paraId="29F2994B" w14:textId="77777777" w:rsidR="00FC1003" w:rsidRDefault="00FC1003" w:rsidP="00FC1003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5AEF965B" w14:textId="77777777" w:rsidR="00FC1003" w:rsidRPr="00D558F4" w:rsidRDefault="00FC1003" w:rsidP="00FC1003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7A6BB37A" wp14:editId="435C8199">
          <wp:simplePos x="0" y="0"/>
          <wp:positionH relativeFrom="page">
            <wp:posOffset>2241550</wp:posOffset>
          </wp:positionH>
          <wp:positionV relativeFrom="paragraph">
            <wp:posOffset>154305</wp:posOffset>
          </wp:positionV>
          <wp:extent cx="161925" cy="161925"/>
          <wp:effectExtent l="0" t="0" r="9525" b="952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3467FF2B" w14:textId="1370D4B0" w:rsidR="00FC1003" w:rsidRPr="00D558F4" w:rsidRDefault="00FC1003" w:rsidP="00FC1003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14B4F3DC" w14:textId="6A9C214D" w:rsidR="00FC1003" w:rsidRPr="00D558F4" w:rsidRDefault="008A022F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48941D0C" wp14:editId="0AAD19D7">
          <wp:simplePos x="0" y="0"/>
          <wp:positionH relativeFrom="column">
            <wp:posOffset>1808126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="00FC1003"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="00FC1003"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="00FC1003"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7CFBED39" w14:textId="77777777" w:rsidR="00FC1003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67C8ADA6" w14:textId="77777777" w:rsidR="00FC1003" w:rsidRDefault="00FC1003" w:rsidP="00FC1003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FC1003" w14:paraId="4AFBE979" w14:textId="77777777" w:rsidTr="00F77641">
      <w:trPr>
        <w:trHeight w:val="100"/>
      </w:trPr>
      <w:tc>
        <w:tcPr>
          <w:tcW w:w="9195" w:type="dxa"/>
        </w:tcPr>
        <w:p w14:paraId="18BAA295" w14:textId="77777777" w:rsidR="00FC1003" w:rsidRDefault="00FC1003" w:rsidP="00F7764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3D389B67" w14:textId="77777777" w:rsidR="00FC1003" w:rsidRDefault="00FC100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156D6"/>
    <w:multiLevelType w:val="hybridMultilevel"/>
    <w:tmpl w:val="766EEE9E"/>
    <w:lvl w:ilvl="0" w:tplc="AF0E21B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9784013"/>
    <w:multiLevelType w:val="hybridMultilevel"/>
    <w:tmpl w:val="CE62F9C2"/>
    <w:lvl w:ilvl="0" w:tplc="29284D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EC"/>
    <w:rsid w:val="00010154"/>
    <w:rsid w:val="00061CF0"/>
    <w:rsid w:val="000C5BC2"/>
    <w:rsid w:val="000E2EDA"/>
    <w:rsid w:val="001025A7"/>
    <w:rsid w:val="001C576A"/>
    <w:rsid w:val="0024524A"/>
    <w:rsid w:val="002737DA"/>
    <w:rsid w:val="003739DE"/>
    <w:rsid w:val="003771BE"/>
    <w:rsid w:val="00395441"/>
    <w:rsid w:val="003A2F83"/>
    <w:rsid w:val="003D1297"/>
    <w:rsid w:val="004300FE"/>
    <w:rsid w:val="0046292E"/>
    <w:rsid w:val="004A0489"/>
    <w:rsid w:val="004D0F02"/>
    <w:rsid w:val="00543AE8"/>
    <w:rsid w:val="0054630C"/>
    <w:rsid w:val="00562A6B"/>
    <w:rsid w:val="005A35D8"/>
    <w:rsid w:val="005A6365"/>
    <w:rsid w:val="005B43C9"/>
    <w:rsid w:val="005D696E"/>
    <w:rsid w:val="00646AC2"/>
    <w:rsid w:val="007150B3"/>
    <w:rsid w:val="00761803"/>
    <w:rsid w:val="00766AE6"/>
    <w:rsid w:val="007B07FE"/>
    <w:rsid w:val="007D77F7"/>
    <w:rsid w:val="007E32B4"/>
    <w:rsid w:val="008312FE"/>
    <w:rsid w:val="008316A4"/>
    <w:rsid w:val="00864E0F"/>
    <w:rsid w:val="008A022F"/>
    <w:rsid w:val="008C4191"/>
    <w:rsid w:val="008D1D6B"/>
    <w:rsid w:val="00925BEC"/>
    <w:rsid w:val="00966497"/>
    <w:rsid w:val="0098760D"/>
    <w:rsid w:val="009A1DE2"/>
    <w:rsid w:val="009B7D4B"/>
    <w:rsid w:val="009C1F22"/>
    <w:rsid w:val="009D3742"/>
    <w:rsid w:val="00A61271"/>
    <w:rsid w:val="00AA3515"/>
    <w:rsid w:val="00AB05EC"/>
    <w:rsid w:val="00AC169D"/>
    <w:rsid w:val="00AF52D4"/>
    <w:rsid w:val="00BF1479"/>
    <w:rsid w:val="00C31D34"/>
    <w:rsid w:val="00CF240E"/>
    <w:rsid w:val="00D25301"/>
    <w:rsid w:val="00D54D21"/>
    <w:rsid w:val="00D957FB"/>
    <w:rsid w:val="00DA1773"/>
    <w:rsid w:val="00DB2E8F"/>
    <w:rsid w:val="00E650C1"/>
    <w:rsid w:val="00E72254"/>
    <w:rsid w:val="00EC6D15"/>
    <w:rsid w:val="00EF515F"/>
    <w:rsid w:val="00F654B6"/>
    <w:rsid w:val="00FA01C6"/>
    <w:rsid w:val="00FC1003"/>
    <w:rsid w:val="00F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E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03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C1003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C1003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FC1003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3D129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03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C1003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C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C1003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FC1003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3D129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1306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59</cp:revision>
  <cp:lastPrinted>2022-02-07T12:51:00Z</cp:lastPrinted>
  <dcterms:created xsi:type="dcterms:W3CDTF">2020-09-21T06:26:00Z</dcterms:created>
  <dcterms:modified xsi:type="dcterms:W3CDTF">2022-02-07T12:52:00Z</dcterms:modified>
</cp:coreProperties>
</file>